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5ACB" w14:textId="56DFFE06" w:rsidR="00700FCF" w:rsidRDefault="00700FCF" w:rsidP="00690823">
      <w:pPr>
        <w:spacing w:line="240" w:lineRule="auto"/>
        <w:jc w:val="right"/>
        <w:rPr>
          <w:rFonts w:ascii="Tahoma" w:hAnsi="Tahoma" w:cs="Tahoma"/>
          <w:b/>
          <w:sz w:val="28"/>
          <w:szCs w:val="28"/>
          <w:highlight w:val="yellow"/>
        </w:rPr>
      </w:pPr>
    </w:p>
    <w:p w14:paraId="6FC0B9A4" w14:textId="35825B89" w:rsidR="00700FCF" w:rsidRDefault="00552985" w:rsidP="00690823">
      <w:pPr>
        <w:spacing w:line="240" w:lineRule="auto"/>
        <w:jc w:val="right"/>
        <w:rPr>
          <w:rFonts w:ascii="Tahoma" w:hAnsi="Tahoma" w:cs="Tahoma"/>
          <w:b/>
          <w:sz w:val="28"/>
          <w:szCs w:val="28"/>
          <w:highlight w:val="yellow"/>
        </w:rPr>
      </w:pPr>
      <w:r>
        <w:rPr>
          <w:noProof/>
        </w:rPr>
        <w:drawing>
          <wp:inline distT="0" distB="0" distL="0" distR="0" wp14:anchorId="1232A489" wp14:editId="5DA59CEF">
            <wp:extent cx="6177280"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280" cy="3476625"/>
                    </a:xfrm>
                    <a:prstGeom prst="rect">
                      <a:avLst/>
                    </a:prstGeom>
                    <a:noFill/>
                    <a:ln>
                      <a:noFill/>
                    </a:ln>
                  </pic:spPr>
                </pic:pic>
              </a:graphicData>
            </a:graphic>
          </wp:inline>
        </w:drawing>
      </w:r>
    </w:p>
    <w:p w14:paraId="17E8A53C" w14:textId="77777777" w:rsidR="00700FCF" w:rsidRDefault="00700FCF" w:rsidP="00690823">
      <w:pPr>
        <w:spacing w:line="240" w:lineRule="auto"/>
        <w:jc w:val="right"/>
        <w:rPr>
          <w:rFonts w:ascii="Tahoma" w:hAnsi="Tahoma" w:cs="Tahoma"/>
          <w:b/>
          <w:sz w:val="28"/>
          <w:szCs w:val="28"/>
          <w:highlight w:val="yellow"/>
        </w:rPr>
      </w:pPr>
    </w:p>
    <w:p w14:paraId="4C4ECDE3" w14:textId="77777777" w:rsidR="00700FCF" w:rsidRDefault="00700FCF" w:rsidP="00690823">
      <w:pPr>
        <w:spacing w:line="240" w:lineRule="auto"/>
        <w:jc w:val="right"/>
        <w:rPr>
          <w:rFonts w:ascii="Tahoma" w:hAnsi="Tahoma" w:cs="Tahoma"/>
          <w:b/>
          <w:sz w:val="28"/>
          <w:szCs w:val="28"/>
          <w:highlight w:val="yellow"/>
        </w:rPr>
      </w:pPr>
    </w:p>
    <w:p w14:paraId="7A147F76" w14:textId="77777777" w:rsidR="00700FCF" w:rsidRDefault="00700FCF" w:rsidP="00690823">
      <w:pPr>
        <w:spacing w:line="240" w:lineRule="auto"/>
        <w:jc w:val="right"/>
        <w:rPr>
          <w:rFonts w:ascii="Tahoma" w:hAnsi="Tahoma" w:cs="Tahoma"/>
          <w:b/>
          <w:sz w:val="28"/>
          <w:szCs w:val="28"/>
          <w:highlight w:val="yellow"/>
        </w:rPr>
      </w:pPr>
    </w:p>
    <w:p w14:paraId="4034EC6C" w14:textId="77777777" w:rsidR="00700FCF" w:rsidRDefault="00700FCF" w:rsidP="00690823">
      <w:pPr>
        <w:spacing w:line="240" w:lineRule="auto"/>
        <w:jc w:val="right"/>
        <w:rPr>
          <w:rFonts w:ascii="Tahoma" w:hAnsi="Tahoma" w:cs="Tahoma"/>
          <w:b/>
          <w:sz w:val="28"/>
          <w:szCs w:val="28"/>
          <w:highlight w:val="yellow"/>
        </w:rPr>
      </w:pPr>
    </w:p>
    <w:p w14:paraId="676DDD14" w14:textId="005C245D" w:rsidR="00690823" w:rsidRDefault="00552985" w:rsidP="00700FCF">
      <w:pPr>
        <w:spacing w:line="240" w:lineRule="auto"/>
        <w:jc w:val="center"/>
        <w:rPr>
          <w:rFonts w:ascii="Tahoma" w:hAnsi="Tahoma" w:cs="Tahoma"/>
          <w:b/>
          <w:sz w:val="28"/>
          <w:szCs w:val="28"/>
        </w:rPr>
      </w:pPr>
      <w:r>
        <w:rPr>
          <w:rFonts w:ascii="Tahoma" w:hAnsi="Tahoma" w:cs="Tahoma"/>
          <w:b/>
          <w:sz w:val="28"/>
          <w:szCs w:val="28"/>
        </w:rPr>
        <w:t>SOHBET SOCIETY</w:t>
      </w:r>
      <w:r w:rsidR="00690823" w:rsidRPr="00690823">
        <w:rPr>
          <w:rFonts w:ascii="Tahoma" w:hAnsi="Tahoma" w:cs="Tahoma"/>
          <w:b/>
          <w:sz w:val="28"/>
          <w:szCs w:val="28"/>
        </w:rPr>
        <w:t xml:space="preserve"> </w:t>
      </w:r>
    </w:p>
    <w:p w14:paraId="7CC72FF7" w14:textId="77777777" w:rsidR="00690823" w:rsidRPr="00690823" w:rsidRDefault="00690823" w:rsidP="00700FCF">
      <w:pPr>
        <w:spacing w:line="240" w:lineRule="auto"/>
        <w:jc w:val="center"/>
        <w:rPr>
          <w:rFonts w:ascii="Tahoma" w:hAnsi="Tahoma" w:cs="Tahoma"/>
          <w:b/>
          <w:sz w:val="28"/>
          <w:szCs w:val="28"/>
        </w:rPr>
      </w:pPr>
      <w:r w:rsidRPr="00690823">
        <w:rPr>
          <w:rFonts w:ascii="Tahoma" w:hAnsi="Tahoma" w:cs="Tahoma"/>
          <w:b/>
          <w:sz w:val="28"/>
          <w:szCs w:val="28"/>
        </w:rPr>
        <w:t>Disciplinary Policy and Procedures</w:t>
      </w:r>
    </w:p>
    <w:p w14:paraId="0087FF8F" w14:textId="77777777" w:rsidR="00690823" w:rsidRPr="00690823" w:rsidRDefault="00690823" w:rsidP="008E3DA7">
      <w:pPr>
        <w:pStyle w:val="Default"/>
        <w:rPr>
          <w:rFonts w:ascii="Tahoma" w:hAnsi="Tahoma" w:cs="Tahoma"/>
          <w:highlight w:val="yellow"/>
        </w:rPr>
      </w:pPr>
    </w:p>
    <w:p w14:paraId="7C63C8EB" w14:textId="77777777" w:rsidR="00690823" w:rsidRPr="00690823" w:rsidRDefault="00690823" w:rsidP="008E3DA7">
      <w:pPr>
        <w:pStyle w:val="Default"/>
        <w:rPr>
          <w:rFonts w:ascii="Tahoma" w:hAnsi="Tahoma" w:cs="Tahoma"/>
          <w:highlight w:val="yellow"/>
        </w:rPr>
      </w:pPr>
    </w:p>
    <w:p w14:paraId="1B1FD384" w14:textId="77777777" w:rsidR="00690823" w:rsidRPr="00690823" w:rsidRDefault="00690823" w:rsidP="008E3DA7">
      <w:pPr>
        <w:pStyle w:val="Default"/>
        <w:rPr>
          <w:rFonts w:ascii="Tahoma" w:hAnsi="Tahoma" w:cs="Tahoma"/>
          <w:highlight w:val="yellow"/>
        </w:rPr>
      </w:pPr>
    </w:p>
    <w:p w14:paraId="2F021C70" w14:textId="12529D7C" w:rsidR="00A205BB" w:rsidRPr="00690823" w:rsidRDefault="00552985" w:rsidP="00690823">
      <w:pPr>
        <w:pStyle w:val="Default"/>
        <w:rPr>
          <w:rFonts w:ascii="Tahoma" w:hAnsi="Tahoma" w:cs="Tahoma"/>
        </w:rPr>
      </w:pPr>
      <w:proofErr w:type="spellStart"/>
      <w:r>
        <w:rPr>
          <w:rFonts w:ascii="Tahoma" w:hAnsi="Tahoma" w:cs="Tahoma"/>
        </w:rPr>
        <w:t>Sohbet</w:t>
      </w:r>
      <w:proofErr w:type="spellEnd"/>
      <w:r>
        <w:rPr>
          <w:rFonts w:ascii="Tahoma" w:hAnsi="Tahoma" w:cs="Tahoma"/>
        </w:rPr>
        <w:t xml:space="preserve"> Society</w:t>
      </w:r>
      <w:r w:rsidR="00863780" w:rsidRPr="00690823">
        <w:rPr>
          <w:rFonts w:ascii="Tahoma" w:hAnsi="Tahoma" w:cs="Tahoma"/>
        </w:rPr>
        <w:t xml:space="preserve"> </w:t>
      </w:r>
      <w:r w:rsidR="00A205BB" w:rsidRPr="00690823">
        <w:rPr>
          <w:rFonts w:ascii="Tahoma" w:hAnsi="Tahoma" w:cs="Tahoma"/>
        </w:rPr>
        <w:t xml:space="preserve">aims to be an organisation that values, recognises and responds to the diverse needs </w:t>
      </w:r>
      <w:r w:rsidR="00690823">
        <w:rPr>
          <w:rFonts w:ascii="Tahoma" w:hAnsi="Tahoma" w:cs="Tahoma"/>
        </w:rPr>
        <w:t xml:space="preserve">of members and those we serve. </w:t>
      </w:r>
      <w:r w:rsidR="00A205BB" w:rsidRPr="00690823">
        <w:rPr>
          <w:rFonts w:ascii="Tahoma" w:hAnsi="Tahoma" w:cs="Tahoma"/>
        </w:rPr>
        <w:t xml:space="preserve">We adhere to the Equality Act 2010 and will not discriminate against any person or other organisation with particular reference to </w:t>
      </w:r>
      <w:r w:rsidR="008B3C77" w:rsidRPr="00690823">
        <w:rPr>
          <w:rFonts w:ascii="Tahoma" w:hAnsi="Tahoma" w:cs="Tahoma"/>
        </w:rPr>
        <w:t xml:space="preserve">any of </w:t>
      </w:r>
      <w:r w:rsidR="00A205BB" w:rsidRPr="00690823">
        <w:rPr>
          <w:rFonts w:ascii="Tahoma" w:hAnsi="Tahoma" w:cs="Tahoma"/>
        </w:rPr>
        <w:t>the protected characteristics.</w:t>
      </w:r>
    </w:p>
    <w:p w14:paraId="7F09B1FA" w14:textId="77777777" w:rsidR="001A4FCB" w:rsidRPr="00690823" w:rsidRDefault="001A4FCB" w:rsidP="00690823">
      <w:pPr>
        <w:pStyle w:val="CM9"/>
        <w:numPr>
          <w:ilvl w:val="0"/>
          <w:numId w:val="10"/>
        </w:numPr>
        <w:spacing w:before="240" w:after="240" w:line="240" w:lineRule="auto"/>
        <w:ind w:left="357" w:hanging="357"/>
        <w:rPr>
          <w:rFonts w:ascii="Tahoma" w:hAnsi="Tahoma" w:cs="Tahoma"/>
          <w:b/>
          <w:szCs w:val="20"/>
        </w:rPr>
      </w:pPr>
      <w:r w:rsidRPr="00690823">
        <w:rPr>
          <w:rFonts w:ascii="Tahoma" w:hAnsi="Tahoma" w:cs="Tahoma"/>
          <w:b/>
          <w:bCs/>
          <w:szCs w:val="20"/>
        </w:rPr>
        <w:t xml:space="preserve">Purpose and scope </w:t>
      </w:r>
    </w:p>
    <w:p w14:paraId="31FDB3FD" w14:textId="6EF6E7A3" w:rsidR="00BE56D0" w:rsidRPr="00690823" w:rsidRDefault="00BE56D0" w:rsidP="00690823">
      <w:pPr>
        <w:pStyle w:val="CM53"/>
        <w:numPr>
          <w:ilvl w:val="0"/>
          <w:numId w:val="3"/>
        </w:numPr>
        <w:ind w:right="765"/>
        <w:rPr>
          <w:rFonts w:ascii="Tahoma" w:hAnsi="Tahoma" w:cs="Tahoma"/>
          <w:szCs w:val="20"/>
        </w:rPr>
      </w:pPr>
      <w:r w:rsidRPr="00690823">
        <w:rPr>
          <w:rFonts w:ascii="Tahoma" w:hAnsi="Tahoma" w:cs="Tahoma"/>
          <w:szCs w:val="20"/>
        </w:rPr>
        <w:t xml:space="preserve">It is essential that certain standards of conduct and performance are maintained to protect the smooth running of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Pr="00690823">
        <w:rPr>
          <w:rFonts w:ascii="Tahoma" w:hAnsi="Tahoma" w:cs="Tahoma"/>
          <w:szCs w:val="20"/>
        </w:rPr>
        <w:t xml:space="preserve">and the wellbeing of </w:t>
      </w:r>
      <w:r w:rsidR="008B3C77" w:rsidRPr="00690823">
        <w:rPr>
          <w:rFonts w:ascii="Tahoma" w:hAnsi="Tahoma" w:cs="Tahoma"/>
          <w:szCs w:val="20"/>
        </w:rPr>
        <w:t xml:space="preserve">all </w:t>
      </w:r>
      <w:r w:rsidRPr="00690823">
        <w:rPr>
          <w:rFonts w:ascii="Tahoma" w:hAnsi="Tahoma" w:cs="Tahoma"/>
          <w:szCs w:val="20"/>
        </w:rPr>
        <w:t xml:space="preserve">its employees.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700FCF">
        <w:rPr>
          <w:rFonts w:ascii="Tahoma" w:hAnsi="Tahoma" w:cs="Tahoma"/>
          <w:szCs w:val="20"/>
        </w:rPr>
        <w:t>’s</w:t>
      </w:r>
      <w:r w:rsidR="00FE7668" w:rsidRPr="00690823">
        <w:rPr>
          <w:rFonts w:ascii="Tahoma" w:hAnsi="Tahoma" w:cs="Tahoma"/>
          <w:szCs w:val="20"/>
        </w:rPr>
        <w:t xml:space="preserve"> </w:t>
      </w:r>
      <w:r w:rsidRPr="00690823">
        <w:rPr>
          <w:rFonts w:ascii="Tahoma" w:hAnsi="Tahoma" w:cs="Tahoma"/>
          <w:szCs w:val="20"/>
        </w:rPr>
        <w:t xml:space="preserve">Disciplinary </w:t>
      </w:r>
      <w:r w:rsidR="00A90617" w:rsidRPr="00690823">
        <w:rPr>
          <w:rFonts w:ascii="Tahoma" w:hAnsi="Tahoma" w:cs="Tahoma"/>
          <w:szCs w:val="20"/>
        </w:rPr>
        <w:t>Policy</w:t>
      </w:r>
      <w:r w:rsidRPr="00690823">
        <w:rPr>
          <w:rFonts w:ascii="Tahoma" w:hAnsi="Tahoma" w:cs="Tahoma"/>
          <w:szCs w:val="20"/>
        </w:rPr>
        <w:t xml:space="preserve"> is intended to ensure fair and equitable treatment of employees where there are </w:t>
      </w:r>
      <w:r w:rsidRPr="00690823">
        <w:rPr>
          <w:rFonts w:ascii="Tahoma" w:hAnsi="Tahoma" w:cs="Tahoma"/>
          <w:szCs w:val="20"/>
        </w:rPr>
        <w:lastRenderedPageBreak/>
        <w:t>instances of misconduct or where job performance falls below an acceptable level.</w:t>
      </w:r>
    </w:p>
    <w:p w14:paraId="6CEEC79A" w14:textId="5C01D088" w:rsidR="001A4FCB" w:rsidRPr="00690823" w:rsidRDefault="00BE56D0" w:rsidP="00690823">
      <w:pPr>
        <w:pStyle w:val="CM53"/>
        <w:numPr>
          <w:ilvl w:val="0"/>
          <w:numId w:val="3"/>
        </w:numPr>
        <w:ind w:right="765"/>
        <w:rPr>
          <w:rFonts w:ascii="Tahoma" w:hAnsi="Tahoma" w:cs="Tahoma"/>
          <w:szCs w:val="20"/>
        </w:rPr>
      </w:pPr>
      <w:r w:rsidRPr="00690823">
        <w:rPr>
          <w:rFonts w:ascii="Tahoma" w:hAnsi="Tahoma" w:cs="Tahoma"/>
          <w:szCs w:val="20"/>
        </w:rPr>
        <w:t xml:space="preserve">All employees are required to conduct themselves in a manner consistent with the effective and efficient operation of the organisation and should recognise and uphold high standards of conduct and performance in their dealings with each other, </w:t>
      </w:r>
      <w:r w:rsidR="00700FCF">
        <w:rPr>
          <w:rFonts w:ascii="Tahoma" w:hAnsi="Tahoma" w:cs="Tahoma"/>
          <w:szCs w:val="20"/>
        </w:rPr>
        <w:t>volunteers</w:t>
      </w:r>
      <w:r w:rsidRPr="00690823">
        <w:rPr>
          <w:rFonts w:ascii="Tahoma" w:hAnsi="Tahoma" w:cs="Tahoma"/>
          <w:szCs w:val="20"/>
        </w:rPr>
        <w:t xml:space="preserve"> and members of the public who access our services.</w:t>
      </w:r>
      <w:r w:rsidR="001A4FCB" w:rsidRPr="00690823">
        <w:rPr>
          <w:rFonts w:ascii="Tahoma" w:hAnsi="Tahoma" w:cs="Tahoma"/>
          <w:szCs w:val="20"/>
        </w:rPr>
        <w:t xml:space="preserve"> </w:t>
      </w:r>
      <w:r w:rsidR="000C2706" w:rsidRPr="00690823">
        <w:rPr>
          <w:rFonts w:ascii="Tahoma" w:hAnsi="Tahoma" w:cs="Tahoma"/>
          <w:szCs w:val="20"/>
        </w:rPr>
        <w:t xml:space="preserve"> This Disciplinary </w:t>
      </w:r>
      <w:r w:rsidR="00A90617" w:rsidRPr="00690823">
        <w:rPr>
          <w:rFonts w:ascii="Tahoma" w:hAnsi="Tahoma" w:cs="Tahoma"/>
          <w:szCs w:val="20"/>
        </w:rPr>
        <w:t xml:space="preserve">Policy and its subsequent </w:t>
      </w:r>
      <w:r w:rsidR="000C2706" w:rsidRPr="00690823">
        <w:rPr>
          <w:rFonts w:ascii="Tahoma" w:hAnsi="Tahoma" w:cs="Tahoma"/>
          <w:szCs w:val="20"/>
        </w:rPr>
        <w:t>procedure</w:t>
      </w:r>
      <w:r w:rsidR="00A90617" w:rsidRPr="00690823">
        <w:rPr>
          <w:rFonts w:ascii="Tahoma" w:hAnsi="Tahoma" w:cs="Tahoma"/>
          <w:szCs w:val="20"/>
        </w:rPr>
        <w:t>s therefore apply</w:t>
      </w:r>
      <w:r w:rsidR="000C2706" w:rsidRPr="00690823">
        <w:rPr>
          <w:rFonts w:ascii="Tahoma" w:hAnsi="Tahoma" w:cs="Tahoma"/>
          <w:szCs w:val="20"/>
        </w:rPr>
        <w:t xml:space="preserve"> to all employees, irrespective of their length of service or role.</w:t>
      </w:r>
    </w:p>
    <w:p w14:paraId="1F6C3EDB" w14:textId="5141C3BF" w:rsidR="008B3C77" w:rsidRPr="00690823" w:rsidRDefault="008B3C77" w:rsidP="00690823">
      <w:pPr>
        <w:pStyle w:val="CM53"/>
        <w:numPr>
          <w:ilvl w:val="0"/>
          <w:numId w:val="3"/>
        </w:numPr>
        <w:ind w:right="765"/>
        <w:rPr>
          <w:rFonts w:ascii="Tahoma" w:hAnsi="Tahoma" w:cs="Tahoma"/>
          <w:szCs w:val="20"/>
        </w:rPr>
      </w:pPr>
      <w:r w:rsidRPr="00690823">
        <w:rPr>
          <w:rFonts w:ascii="Tahoma" w:hAnsi="Tahoma" w:cs="Tahoma"/>
          <w:szCs w:val="20"/>
        </w:rPr>
        <w:t xml:space="preserve">This Disciplinary </w:t>
      </w:r>
      <w:r w:rsidR="00A90617" w:rsidRPr="00690823">
        <w:rPr>
          <w:rFonts w:ascii="Tahoma" w:hAnsi="Tahoma" w:cs="Tahoma"/>
          <w:szCs w:val="20"/>
        </w:rPr>
        <w:t>Policy and P</w:t>
      </w:r>
      <w:r w:rsidRPr="00690823">
        <w:rPr>
          <w:rFonts w:ascii="Tahoma" w:hAnsi="Tahoma" w:cs="Tahoma"/>
          <w:szCs w:val="20"/>
        </w:rPr>
        <w:t>rocedure</w:t>
      </w:r>
      <w:r w:rsidR="00A90617" w:rsidRPr="00690823">
        <w:rPr>
          <w:rFonts w:ascii="Tahoma" w:hAnsi="Tahoma" w:cs="Tahoma"/>
          <w:szCs w:val="20"/>
        </w:rPr>
        <w:t>s</w:t>
      </w:r>
      <w:r w:rsidRPr="00690823">
        <w:rPr>
          <w:rFonts w:ascii="Tahoma" w:hAnsi="Tahoma" w:cs="Tahoma"/>
          <w:szCs w:val="20"/>
        </w:rPr>
        <w:t xml:space="preserve"> is for guidance only, does not form part of employees’ terms and conditions of employment and is therefore not contractually binding.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Pr="00690823">
        <w:rPr>
          <w:rFonts w:ascii="Tahoma" w:hAnsi="Tahoma" w:cs="Tahoma"/>
          <w:szCs w:val="20"/>
        </w:rPr>
        <w:t xml:space="preserve">reserves the right to amend this policy from time to time and any changes will be communicated to and discussed with employees.  Where appropriate,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Pr="00690823">
        <w:rPr>
          <w:rFonts w:ascii="Tahoma" w:hAnsi="Tahoma" w:cs="Tahoma"/>
          <w:szCs w:val="20"/>
        </w:rPr>
        <w:t>aims to involve employees, and, where relevant, their representatives, in the development of this procedure.  This procedure does not apply to cases involving genuine sickness absence, or proposed redundancies.</w:t>
      </w:r>
    </w:p>
    <w:p w14:paraId="16B41E38" w14:textId="77777777" w:rsidR="001A4FCB" w:rsidRPr="00690823" w:rsidRDefault="001A4FCB" w:rsidP="00690823">
      <w:pPr>
        <w:pStyle w:val="CM9"/>
        <w:numPr>
          <w:ilvl w:val="0"/>
          <w:numId w:val="10"/>
        </w:numPr>
        <w:spacing w:before="240" w:after="240" w:line="240" w:lineRule="auto"/>
        <w:ind w:left="357" w:hanging="357"/>
        <w:rPr>
          <w:rFonts w:ascii="Tahoma" w:hAnsi="Tahoma" w:cs="Tahoma"/>
          <w:b/>
          <w:bCs/>
          <w:szCs w:val="20"/>
        </w:rPr>
      </w:pPr>
      <w:r w:rsidRPr="00690823">
        <w:rPr>
          <w:rFonts w:ascii="Tahoma" w:hAnsi="Tahoma" w:cs="Tahoma"/>
          <w:b/>
          <w:bCs/>
          <w:szCs w:val="20"/>
        </w:rPr>
        <w:t>Principles</w:t>
      </w:r>
    </w:p>
    <w:p w14:paraId="16F808D6" w14:textId="77777777" w:rsidR="000724FC" w:rsidRPr="00690823" w:rsidRDefault="000724FC" w:rsidP="00690823">
      <w:pPr>
        <w:pStyle w:val="CM53"/>
        <w:numPr>
          <w:ilvl w:val="0"/>
          <w:numId w:val="3"/>
        </w:numPr>
        <w:ind w:right="765"/>
        <w:rPr>
          <w:rFonts w:ascii="Tahoma" w:hAnsi="Tahoma" w:cs="Tahoma"/>
          <w:szCs w:val="20"/>
        </w:rPr>
      </w:pPr>
      <w:r w:rsidRPr="00690823">
        <w:rPr>
          <w:rFonts w:ascii="Tahoma" w:hAnsi="Tahoma" w:cs="Tahoma"/>
          <w:szCs w:val="20"/>
        </w:rPr>
        <w:t>The procedure is designed to establish the facts quickly and to deal consistently with disciplinary issues.  No disciplinary action will be taken until the matter has been fully investigated.</w:t>
      </w:r>
    </w:p>
    <w:p w14:paraId="4477BFF3" w14:textId="7736BADF" w:rsidR="000724FC" w:rsidRPr="00690823" w:rsidRDefault="000724FC" w:rsidP="00690823">
      <w:pPr>
        <w:pStyle w:val="CM53"/>
        <w:numPr>
          <w:ilvl w:val="0"/>
          <w:numId w:val="3"/>
        </w:numPr>
        <w:ind w:right="765"/>
        <w:rPr>
          <w:rFonts w:ascii="Tahoma" w:hAnsi="Tahoma" w:cs="Tahoma"/>
          <w:szCs w:val="20"/>
        </w:rPr>
      </w:pPr>
      <w:r w:rsidRPr="00690823">
        <w:rPr>
          <w:rFonts w:ascii="Tahoma" w:hAnsi="Tahoma" w:cs="Tahoma"/>
          <w:szCs w:val="20"/>
        </w:rPr>
        <w:t xml:space="preserve">Where an allegation of misconduct has been made or an employee appears to be under-performing,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Pr="00690823">
        <w:rPr>
          <w:rFonts w:ascii="Tahoma" w:hAnsi="Tahoma" w:cs="Tahoma"/>
          <w:szCs w:val="20"/>
        </w:rPr>
        <w:t xml:space="preserve">’s first step will be to establish the facts as quickly as possible.  The extent of the investigation required will vary according to the particular circumstances, but it may involve holding an investigatory meeting with the employee.  During this investigation into the facts,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Pr="00690823">
        <w:rPr>
          <w:rFonts w:ascii="Tahoma" w:hAnsi="Tahoma" w:cs="Tahoma"/>
          <w:szCs w:val="20"/>
        </w:rPr>
        <w:t xml:space="preserve"> reserves the right to suspend the employee from their duties on full pay for a limited period of time, if this is deemed to be appropriate in the circumstances.  Any such action will be confirmed to the employee in writing and kept under review.  However, any investigation and/or suspension will be solely for the purpose of fact-finding and will not constitute disciplinary action.  For the avoidance of doubt, no disciplinary decision will be taken until the disciplinary procedure detailed in this procedure has been followed.</w:t>
      </w:r>
    </w:p>
    <w:p w14:paraId="410BAEAF" w14:textId="3E6F1284" w:rsidR="000724FC" w:rsidRPr="00690823" w:rsidRDefault="000724FC" w:rsidP="00690823">
      <w:pPr>
        <w:pStyle w:val="CM53"/>
        <w:numPr>
          <w:ilvl w:val="0"/>
          <w:numId w:val="3"/>
        </w:numPr>
        <w:ind w:right="765"/>
        <w:rPr>
          <w:rFonts w:ascii="Tahoma" w:hAnsi="Tahoma" w:cs="Tahoma"/>
          <w:szCs w:val="20"/>
        </w:rPr>
      </w:pPr>
      <w:r w:rsidRPr="00690823">
        <w:rPr>
          <w:rFonts w:ascii="Tahoma" w:hAnsi="Tahoma" w:cs="Tahoma"/>
          <w:szCs w:val="20"/>
        </w:rPr>
        <w:t xml:space="preserve">At every stage </w:t>
      </w:r>
      <w:proofErr w:type="gramStart"/>
      <w:r w:rsidRPr="00690823">
        <w:rPr>
          <w:rFonts w:ascii="Tahoma" w:hAnsi="Tahoma" w:cs="Tahoma"/>
          <w:szCs w:val="20"/>
        </w:rPr>
        <w:t>employees</w:t>
      </w:r>
      <w:proofErr w:type="gramEnd"/>
      <w:r w:rsidRPr="00690823">
        <w:rPr>
          <w:rFonts w:ascii="Tahoma" w:hAnsi="Tahoma" w:cs="Tahoma"/>
          <w:szCs w:val="20"/>
        </w:rPr>
        <w:t xml:space="preserve"> will be informed of what is alleged and have the opportunity to state their case at a</w:t>
      </w:r>
      <w:r w:rsidR="00021729" w:rsidRPr="00690823">
        <w:rPr>
          <w:rFonts w:ascii="Tahoma" w:hAnsi="Tahoma" w:cs="Tahoma"/>
          <w:szCs w:val="20"/>
        </w:rPr>
        <w:t>n</w:t>
      </w:r>
      <w:r w:rsidRPr="00690823">
        <w:rPr>
          <w:rFonts w:ascii="Tahoma" w:hAnsi="Tahoma" w:cs="Tahoma"/>
          <w:szCs w:val="20"/>
        </w:rPr>
        <w:t xml:space="preserve"> </w:t>
      </w:r>
      <w:r w:rsidR="00021729" w:rsidRPr="00690823">
        <w:rPr>
          <w:rFonts w:ascii="Tahoma" w:hAnsi="Tahoma" w:cs="Tahoma"/>
          <w:szCs w:val="20"/>
        </w:rPr>
        <w:t>investigatory</w:t>
      </w:r>
      <w:r w:rsidRPr="00690823">
        <w:rPr>
          <w:rFonts w:ascii="Tahoma" w:hAnsi="Tahoma" w:cs="Tahoma"/>
          <w:szCs w:val="20"/>
        </w:rPr>
        <w:t xml:space="preserve"> meeting and be represented or accompanied, if they wish, by a trade union representative or a work colleague (they will be referred to as your “Chosen Companion”). </w:t>
      </w:r>
      <w:r w:rsidR="00A12706" w:rsidRPr="00690823">
        <w:rPr>
          <w:rFonts w:ascii="Tahoma" w:hAnsi="Tahoma" w:cs="Tahoma"/>
        </w:rPr>
        <w:t xml:space="preserve">Your chosen companion </w:t>
      </w:r>
      <w:r w:rsidR="00700FCF" w:rsidRPr="00690823">
        <w:rPr>
          <w:rFonts w:ascii="Tahoma" w:hAnsi="Tahoma" w:cs="Tahoma"/>
        </w:rPr>
        <w:t>cannot</w:t>
      </w:r>
      <w:r w:rsidR="00A12706" w:rsidRPr="00690823">
        <w:rPr>
          <w:rFonts w:ascii="Tahoma" w:hAnsi="Tahoma" w:cs="Tahoma"/>
        </w:rPr>
        <w:t xml:space="preserve"> be a related party either through direct family relations or a personal relationship (marriage/partner etc).</w:t>
      </w:r>
    </w:p>
    <w:p w14:paraId="78394E81" w14:textId="5EACA328" w:rsidR="000724FC" w:rsidRPr="00690823" w:rsidRDefault="000724FC" w:rsidP="00690823">
      <w:pPr>
        <w:pStyle w:val="Default"/>
        <w:numPr>
          <w:ilvl w:val="0"/>
          <w:numId w:val="3"/>
        </w:numPr>
        <w:rPr>
          <w:rFonts w:ascii="Tahoma" w:hAnsi="Tahoma" w:cs="Tahoma"/>
        </w:rPr>
      </w:pPr>
      <w:r w:rsidRPr="00690823">
        <w:rPr>
          <w:rFonts w:ascii="Tahoma" w:hAnsi="Tahoma" w:cs="Tahoma"/>
          <w:szCs w:val="20"/>
        </w:rPr>
        <w:t>An employee has the right to appeal against any disciplinary penalty</w:t>
      </w:r>
      <w:r w:rsidR="00700FCF">
        <w:rPr>
          <w:rFonts w:ascii="Tahoma" w:hAnsi="Tahoma" w:cs="Tahoma"/>
          <w:szCs w:val="20"/>
        </w:rPr>
        <w:t>.</w:t>
      </w:r>
    </w:p>
    <w:p w14:paraId="4985B063" w14:textId="77777777" w:rsidR="00D06C3A" w:rsidRPr="00690823" w:rsidRDefault="00A76A0D" w:rsidP="00690823">
      <w:pPr>
        <w:pStyle w:val="CM9"/>
        <w:numPr>
          <w:ilvl w:val="0"/>
          <w:numId w:val="10"/>
        </w:numPr>
        <w:spacing w:before="240" w:after="240" w:line="240" w:lineRule="auto"/>
        <w:ind w:left="357" w:hanging="357"/>
        <w:rPr>
          <w:rFonts w:ascii="Tahoma" w:hAnsi="Tahoma" w:cs="Tahoma"/>
          <w:b/>
          <w:bCs/>
          <w:szCs w:val="20"/>
        </w:rPr>
      </w:pPr>
      <w:r w:rsidRPr="00690823">
        <w:rPr>
          <w:rFonts w:ascii="Tahoma" w:hAnsi="Tahoma" w:cs="Tahoma"/>
          <w:b/>
          <w:bCs/>
          <w:szCs w:val="20"/>
        </w:rPr>
        <w:t>The Procedure</w:t>
      </w:r>
    </w:p>
    <w:p w14:paraId="28CC93D1" w14:textId="77777777" w:rsidR="00BE56D0" w:rsidRPr="00690823" w:rsidRDefault="00BE56D0" w:rsidP="00690823">
      <w:pPr>
        <w:pStyle w:val="CM9"/>
        <w:numPr>
          <w:ilvl w:val="1"/>
          <w:numId w:val="10"/>
        </w:numPr>
        <w:spacing w:before="120" w:after="120" w:line="240" w:lineRule="auto"/>
        <w:rPr>
          <w:rFonts w:ascii="Tahoma" w:hAnsi="Tahoma" w:cs="Tahoma"/>
          <w:b/>
          <w:bCs/>
          <w:szCs w:val="20"/>
        </w:rPr>
      </w:pPr>
      <w:r w:rsidRPr="00690823">
        <w:rPr>
          <w:rFonts w:ascii="Tahoma" w:hAnsi="Tahoma" w:cs="Tahoma"/>
          <w:b/>
          <w:iCs/>
          <w:szCs w:val="20"/>
        </w:rPr>
        <w:t>Informal discipl</w:t>
      </w:r>
      <w:r w:rsidR="00D06C3A" w:rsidRPr="00690823">
        <w:rPr>
          <w:rFonts w:ascii="Tahoma" w:hAnsi="Tahoma" w:cs="Tahoma"/>
          <w:b/>
          <w:iCs/>
          <w:szCs w:val="20"/>
        </w:rPr>
        <w:t xml:space="preserve">inary </w:t>
      </w:r>
      <w:r w:rsidRPr="00690823">
        <w:rPr>
          <w:rFonts w:ascii="Tahoma" w:hAnsi="Tahoma" w:cs="Tahoma"/>
          <w:b/>
          <w:iCs/>
          <w:szCs w:val="20"/>
        </w:rPr>
        <w:t>procedure</w:t>
      </w:r>
    </w:p>
    <w:p w14:paraId="4B4F8833" w14:textId="242CAF2D" w:rsidR="00BE56D0" w:rsidRPr="00690823" w:rsidRDefault="00BE56D0" w:rsidP="00690823">
      <w:pPr>
        <w:pStyle w:val="CM53"/>
        <w:numPr>
          <w:ilvl w:val="0"/>
          <w:numId w:val="5"/>
        </w:numPr>
        <w:rPr>
          <w:rFonts w:ascii="Tahoma" w:hAnsi="Tahoma" w:cs="Tahoma"/>
          <w:szCs w:val="20"/>
        </w:rPr>
      </w:pPr>
      <w:r w:rsidRPr="00690823">
        <w:rPr>
          <w:rFonts w:ascii="Tahoma" w:hAnsi="Tahoma" w:cs="Tahoma"/>
          <w:szCs w:val="20"/>
        </w:rPr>
        <w:t xml:space="preserve">For less serious misconduct or where performance levels are below standard,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Pr="00690823">
        <w:rPr>
          <w:rFonts w:ascii="Tahoma" w:hAnsi="Tahoma" w:cs="Tahoma"/>
          <w:szCs w:val="20"/>
        </w:rPr>
        <w:t xml:space="preserve">may issue an oral warning </w:t>
      </w:r>
      <w:r w:rsidR="000C2706" w:rsidRPr="00690823">
        <w:rPr>
          <w:rFonts w:ascii="Tahoma" w:hAnsi="Tahoma" w:cs="Tahoma"/>
          <w:szCs w:val="20"/>
        </w:rPr>
        <w:t xml:space="preserve">after conducting an initial investigation </w:t>
      </w:r>
      <w:r w:rsidRPr="00690823">
        <w:rPr>
          <w:rFonts w:ascii="Tahoma" w:hAnsi="Tahoma" w:cs="Tahoma"/>
          <w:szCs w:val="20"/>
        </w:rPr>
        <w:t xml:space="preserve">without </w:t>
      </w:r>
      <w:r w:rsidRPr="00690823">
        <w:rPr>
          <w:rFonts w:ascii="Tahoma" w:hAnsi="Tahoma" w:cs="Tahoma"/>
          <w:szCs w:val="20"/>
        </w:rPr>
        <w:lastRenderedPageBreak/>
        <w:t xml:space="preserve">using the full disciplinary procedure.  Examples of less serious misconduct or performance are minor breaches of organisation discipline, </w:t>
      </w:r>
      <w:r w:rsidR="00842BA1" w:rsidRPr="00690823">
        <w:rPr>
          <w:rFonts w:ascii="Tahoma" w:hAnsi="Tahoma" w:cs="Tahoma"/>
          <w:szCs w:val="20"/>
        </w:rPr>
        <w:t>poor behaviour</w:t>
      </w:r>
      <w:r w:rsidRPr="00690823">
        <w:rPr>
          <w:rFonts w:ascii="Tahoma" w:hAnsi="Tahoma" w:cs="Tahoma"/>
          <w:szCs w:val="20"/>
        </w:rPr>
        <w:t>, poor timekeeping or poor job performance.</w:t>
      </w:r>
    </w:p>
    <w:p w14:paraId="4528ED1C" w14:textId="77777777" w:rsidR="00A12706" w:rsidRPr="00690823" w:rsidRDefault="00BE56D0" w:rsidP="00690823">
      <w:pPr>
        <w:pStyle w:val="CM53"/>
        <w:numPr>
          <w:ilvl w:val="0"/>
          <w:numId w:val="5"/>
        </w:numPr>
        <w:rPr>
          <w:rFonts w:ascii="Tahoma" w:hAnsi="Tahoma" w:cs="Tahoma"/>
          <w:szCs w:val="20"/>
        </w:rPr>
      </w:pPr>
      <w:r w:rsidRPr="00690823">
        <w:rPr>
          <w:rFonts w:ascii="Tahoma" w:hAnsi="Tahoma" w:cs="Tahoma"/>
          <w:szCs w:val="20"/>
        </w:rPr>
        <w:t xml:space="preserve">An employee may if they wish be accompanied by a </w:t>
      </w:r>
      <w:r w:rsidR="009D7DC0" w:rsidRPr="00690823">
        <w:rPr>
          <w:rFonts w:ascii="Tahoma" w:hAnsi="Tahoma" w:cs="Tahoma"/>
          <w:szCs w:val="20"/>
        </w:rPr>
        <w:t>C</w:t>
      </w:r>
      <w:r w:rsidR="000C2706" w:rsidRPr="00690823">
        <w:rPr>
          <w:rFonts w:ascii="Tahoma" w:hAnsi="Tahoma" w:cs="Tahoma"/>
          <w:szCs w:val="20"/>
        </w:rPr>
        <w:t>ho</w:t>
      </w:r>
      <w:r w:rsidR="009D7DC0" w:rsidRPr="00690823">
        <w:rPr>
          <w:rFonts w:ascii="Tahoma" w:hAnsi="Tahoma" w:cs="Tahoma"/>
          <w:szCs w:val="20"/>
        </w:rPr>
        <w:t>sen C</w:t>
      </w:r>
      <w:r w:rsidR="000C2706" w:rsidRPr="00690823">
        <w:rPr>
          <w:rFonts w:ascii="Tahoma" w:hAnsi="Tahoma" w:cs="Tahoma"/>
          <w:szCs w:val="20"/>
        </w:rPr>
        <w:t>ompanion</w:t>
      </w:r>
      <w:r w:rsidRPr="00690823">
        <w:rPr>
          <w:rFonts w:ascii="Tahoma" w:hAnsi="Tahoma" w:cs="Tahoma"/>
          <w:szCs w:val="20"/>
        </w:rPr>
        <w:t xml:space="preserve"> of their choice to a meeting with their direct line manager under the informal procedure.</w:t>
      </w:r>
      <w:r w:rsidR="00A12706" w:rsidRPr="00690823">
        <w:rPr>
          <w:rFonts w:ascii="Tahoma" w:hAnsi="Tahoma" w:cs="Tahoma"/>
          <w:szCs w:val="20"/>
        </w:rPr>
        <w:t xml:space="preserve"> </w:t>
      </w:r>
    </w:p>
    <w:p w14:paraId="4E1D2A2E" w14:textId="77777777" w:rsidR="00BE56D0" w:rsidRPr="00690823" w:rsidRDefault="00BE56D0" w:rsidP="00690823">
      <w:pPr>
        <w:pStyle w:val="CM53"/>
        <w:numPr>
          <w:ilvl w:val="0"/>
          <w:numId w:val="5"/>
        </w:numPr>
        <w:rPr>
          <w:rFonts w:ascii="Tahoma" w:hAnsi="Tahoma" w:cs="Tahoma"/>
          <w:szCs w:val="20"/>
        </w:rPr>
      </w:pPr>
      <w:r w:rsidRPr="00690823">
        <w:rPr>
          <w:rFonts w:ascii="Tahoma" w:hAnsi="Tahoma" w:cs="Tahoma"/>
          <w:szCs w:val="20"/>
        </w:rPr>
        <w:t xml:space="preserve">An oral warning </w:t>
      </w:r>
      <w:r w:rsidR="000C2706" w:rsidRPr="00690823">
        <w:rPr>
          <w:rFonts w:ascii="Tahoma" w:hAnsi="Tahoma" w:cs="Tahoma"/>
          <w:szCs w:val="20"/>
        </w:rPr>
        <w:t>may</w:t>
      </w:r>
      <w:r w:rsidRPr="00690823">
        <w:rPr>
          <w:rFonts w:ascii="Tahoma" w:hAnsi="Tahoma" w:cs="Tahoma"/>
          <w:szCs w:val="20"/>
        </w:rPr>
        <w:t xml:space="preserve"> be recorded on an employee</w:t>
      </w:r>
      <w:r w:rsidR="00A76A0D" w:rsidRPr="00690823">
        <w:rPr>
          <w:rFonts w:ascii="Tahoma" w:hAnsi="Tahoma" w:cs="Tahoma"/>
          <w:szCs w:val="20"/>
        </w:rPr>
        <w:t>'</w:t>
      </w:r>
      <w:r w:rsidRPr="00690823">
        <w:rPr>
          <w:rFonts w:ascii="Tahoma" w:hAnsi="Tahoma" w:cs="Tahoma"/>
          <w:szCs w:val="20"/>
        </w:rPr>
        <w:t>s file by means of a written note. The note will remain on file for a period specified by the manager ta</w:t>
      </w:r>
      <w:r w:rsidR="00842BA1" w:rsidRPr="00690823">
        <w:rPr>
          <w:rFonts w:ascii="Tahoma" w:hAnsi="Tahoma" w:cs="Tahoma"/>
          <w:szCs w:val="20"/>
        </w:rPr>
        <w:t>king action (normally 6 months).</w:t>
      </w:r>
    </w:p>
    <w:p w14:paraId="4FE80CD6" w14:textId="77777777" w:rsidR="00A76A0D" w:rsidRPr="00690823" w:rsidRDefault="00A76A0D" w:rsidP="00690823">
      <w:pPr>
        <w:pStyle w:val="CM9"/>
        <w:numPr>
          <w:ilvl w:val="1"/>
          <w:numId w:val="10"/>
        </w:numPr>
        <w:spacing w:before="120" w:after="120" w:line="240" w:lineRule="auto"/>
        <w:rPr>
          <w:rFonts w:ascii="Tahoma" w:hAnsi="Tahoma" w:cs="Tahoma"/>
          <w:b/>
          <w:iCs/>
          <w:szCs w:val="20"/>
        </w:rPr>
      </w:pPr>
      <w:r w:rsidRPr="00690823">
        <w:rPr>
          <w:rFonts w:ascii="Tahoma" w:hAnsi="Tahoma" w:cs="Tahoma"/>
          <w:b/>
          <w:iCs/>
          <w:szCs w:val="20"/>
        </w:rPr>
        <w:t>Formal disciplinary procedure</w:t>
      </w:r>
    </w:p>
    <w:p w14:paraId="14415DB0" w14:textId="77777777" w:rsidR="001A4FCB" w:rsidRPr="00690823" w:rsidRDefault="00A76A0D" w:rsidP="00690823">
      <w:pPr>
        <w:pStyle w:val="CM9"/>
        <w:spacing w:before="120" w:after="120" w:line="240" w:lineRule="auto"/>
        <w:ind w:left="425"/>
        <w:rPr>
          <w:rFonts w:ascii="Tahoma" w:hAnsi="Tahoma" w:cs="Tahoma"/>
          <w:b/>
          <w:i/>
          <w:iCs/>
          <w:szCs w:val="20"/>
        </w:rPr>
      </w:pPr>
      <w:r w:rsidRPr="00690823">
        <w:rPr>
          <w:rFonts w:ascii="Tahoma" w:hAnsi="Tahoma" w:cs="Tahoma"/>
          <w:b/>
          <w:i/>
          <w:iCs/>
          <w:szCs w:val="20"/>
        </w:rPr>
        <w:t>Stage 1 – formal verbal</w:t>
      </w:r>
      <w:r w:rsidR="001A4FCB" w:rsidRPr="00690823">
        <w:rPr>
          <w:rFonts w:ascii="Tahoma" w:hAnsi="Tahoma" w:cs="Tahoma"/>
          <w:b/>
          <w:i/>
          <w:iCs/>
          <w:szCs w:val="20"/>
        </w:rPr>
        <w:t xml:space="preserve"> warning</w:t>
      </w:r>
    </w:p>
    <w:p w14:paraId="2AB3EAA7" w14:textId="77777777" w:rsidR="001A4FCB" w:rsidRPr="00690823" w:rsidRDefault="001A4FCB" w:rsidP="00690823">
      <w:pPr>
        <w:pStyle w:val="CM53"/>
        <w:ind w:left="426"/>
        <w:rPr>
          <w:rFonts w:ascii="Tahoma" w:hAnsi="Tahoma" w:cs="Tahoma"/>
          <w:szCs w:val="20"/>
        </w:rPr>
      </w:pPr>
      <w:r w:rsidRPr="00690823">
        <w:rPr>
          <w:rFonts w:ascii="Tahoma" w:hAnsi="Tahoma" w:cs="Tahoma"/>
          <w:szCs w:val="20"/>
        </w:rPr>
        <w:t xml:space="preserve">If conduct or performance is unsatisfactory, the employee will be given a </w:t>
      </w:r>
      <w:r w:rsidR="00A205BB" w:rsidRPr="00690823">
        <w:rPr>
          <w:rFonts w:ascii="Tahoma" w:hAnsi="Tahoma" w:cs="Tahoma"/>
          <w:szCs w:val="20"/>
        </w:rPr>
        <w:t>formal verbal</w:t>
      </w:r>
      <w:r w:rsidRPr="00690823">
        <w:rPr>
          <w:rFonts w:ascii="Tahoma" w:hAnsi="Tahoma" w:cs="Tahoma"/>
          <w:szCs w:val="20"/>
        </w:rPr>
        <w:t xml:space="preserve"> warning or performance </w:t>
      </w:r>
      <w:r w:rsidR="00842BA1" w:rsidRPr="00690823">
        <w:rPr>
          <w:rFonts w:ascii="Tahoma" w:hAnsi="Tahoma" w:cs="Tahoma"/>
          <w:szCs w:val="20"/>
        </w:rPr>
        <w:t>action plan</w:t>
      </w:r>
      <w:r w:rsidRPr="00690823">
        <w:rPr>
          <w:rFonts w:ascii="Tahoma" w:hAnsi="Tahoma" w:cs="Tahoma"/>
          <w:szCs w:val="20"/>
        </w:rPr>
        <w:t>.</w:t>
      </w:r>
      <w:r w:rsidR="00452EB2" w:rsidRPr="00690823">
        <w:rPr>
          <w:rFonts w:ascii="Tahoma" w:hAnsi="Tahoma" w:cs="Tahoma"/>
          <w:szCs w:val="20"/>
        </w:rPr>
        <w:t xml:space="preserve"> </w:t>
      </w:r>
      <w:r w:rsidRPr="00690823">
        <w:rPr>
          <w:rFonts w:ascii="Tahoma" w:hAnsi="Tahoma" w:cs="Tahoma"/>
          <w:szCs w:val="20"/>
        </w:rPr>
        <w:t xml:space="preserve"> Such warnings will be re</w:t>
      </w:r>
      <w:r w:rsidR="004E2F95" w:rsidRPr="00690823">
        <w:rPr>
          <w:rFonts w:ascii="Tahoma" w:hAnsi="Tahoma" w:cs="Tahoma"/>
          <w:szCs w:val="20"/>
        </w:rPr>
        <w:t>corded</w:t>
      </w:r>
      <w:r w:rsidR="00A205BB" w:rsidRPr="00690823">
        <w:rPr>
          <w:rFonts w:ascii="Tahoma" w:hAnsi="Tahoma" w:cs="Tahoma"/>
          <w:szCs w:val="20"/>
        </w:rPr>
        <w:t xml:space="preserve"> on file</w:t>
      </w:r>
      <w:r w:rsidR="004E2F95" w:rsidRPr="00690823">
        <w:rPr>
          <w:rFonts w:ascii="Tahoma" w:hAnsi="Tahoma" w:cs="Tahoma"/>
          <w:szCs w:val="20"/>
        </w:rPr>
        <w:t>, but disregarded after 6</w:t>
      </w:r>
      <w:r w:rsidRPr="00690823">
        <w:rPr>
          <w:rFonts w:ascii="Tahoma" w:hAnsi="Tahoma" w:cs="Tahoma"/>
          <w:szCs w:val="20"/>
        </w:rPr>
        <w:t xml:space="preserve"> months of satisfactory service. </w:t>
      </w:r>
      <w:r w:rsidR="00452EB2" w:rsidRPr="00690823">
        <w:rPr>
          <w:rFonts w:ascii="Tahoma" w:hAnsi="Tahoma" w:cs="Tahoma"/>
          <w:szCs w:val="20"/>
        </w:rPr>
        <w:t xml:space="preserve"> </w:t>
      </w:r>
      <w:r w:rsidR="00A205BB" w:rsidRPr="00690823">
        <w:rPr>
          <w:rFonts w:ascii="Tahoma" w:hAnsi="Tahoma" w:cs="Tahoma"/>
          <w:szCs w:val="20"/>
        </w:rPr>
        <w:t xml:space="preserve">The employee will be given a copy of the file note.  </w:t>
      </w:r>
      <w:r w:rsidRPr="00690823">
        <w:rPr>
          <w:rFonts w:ascii="Tahoma" w:hAnsi="Tahoma" w:cs="Tahoma"/>
          <w:szCs w:val="20"/>
        </w:rPr>
        <w:t xml:space="preserve">The employee will also be informed that a </w:t>
      </w:r>
      <w:r w:rsidR="000C2706" w:rsidRPr="00690823">
        <w:rPr>
          <w:rFonts w:ascii="Tahoma" w:hAnsi="Tahoma" w:cs="Tahoma"/>
          <w:szCs w:val="20"/>
        </w:rPr>
        <w:t xml:space="preserve">formal </w:t>
      </w:r>
      <w:r w:rsidRPr="00690823">
        <w:rPr>
          <w:rFonts w:ascii="Tahoma" w:hAnsi="Tahoma" w:cs="Tahoma"/>
          <w:szCs w:val="20"/>
        </w:rPr>
        <w:t xml:space="preserve">written </w:t>
      </w:r>
      <w:r w:rsidR="000C2706" w:rsidRPr="00690823">
        <w:rPr>
          <w:rFonts w:ascii="Tahoma" w:hAnsi="Tahoma" w:cs="Tahoma"/>
          <w:szCs w:val="20"/>
        </w:rPr>
        <w:t xml:space="preserve">or final written </w:t>
      </w:r>
      <w:r w:rsidRPr="00690823">
        <w:rPr>
          <w:rFonts w:ascii="Tahoma" w:hAnsi="Tahoma" w:cs="Tahoma"/>
          <w:szCs w:val="20"/>
        </w:rPr>
        <w:t xml:space="preserve">warning may be considered if there is no sustained satisfactory improvement or change. </w:t>
      </w:r>
      <w:r w:rsidR="00A76A0D" w:rsidRPr="00690823">
        <w:rPr>
          <w:rFonts w:ascii="Tahoma" w:hAnsi="Tahoma" w:cs="Tahoma"/>
          <w:szCs w:val="20"/>
        </w:rPr>
        <w:t xml:space="preserve"> </w:t>
      </w:r>
      <w:r w:rsidRPr="00690823">
        <w:rPr>
          <w:rFonts w:ascii="Tahoma" w:hAnsi="Tahoma" w:cs="Tahoma"/>
          <w:szCs w:val="20"/>
        </w:rPr>
        <w:t xml:space="preserve">(Where the first </w:t>
      </w:r>
      <w:r w:rsidR="00A76A0D" w:rsidRPr="00690823">
        <w:rPr>
          <w:rFonts w:ascii="Tahoma" w:hAnsi="Tahoma" w:cs="Tahoma"/>
          <w:szCs w:val="20"/>
        </w:rPr>
        <w:t>breach</w:t>
      </w:r>
      <w:r w:rsidRPr="00690823">
        <w:rPr>
          <w:rFonts w:ascii="Tahoma" w:hAnsi="Tahoma" w:cs="Tahoma"/>
          <w:szCs w:val="20"/>
        </w:rPr>
        <w:t xml:space="preserve"> is sufficiently serious, for example because it is having, or is likely to have, a serious harmful effect on the organisation, it may be justifiable to move directly to a fin</w:t>
      </w:r>
      <w:r w:rsidR="00A76A0D" w:rsidRPr="00690823">
        <w:rPr>
          <w:rFonts w:ascii="Tahoma" w:hAnsi="Tahoma" w:cs="Tahoma"/>
          <w:szCs w:val="20"/>
        </w:rPr>
        <w:t>al written warning).</w:t>
      </w:r>
    </w:p>
    <w:p w14:paraId="533DC79B" w14:textId="77777777" w:rsidR="00A76A0D" w:rsidRPr="00690823" w:rsidRDefault="00A76A0D" w:rsidP="00690823">
      <w:pPr>
        <w:pStyle w:val="CM9"/>
        <w:spacing w:before="120" w:after="120" w:line="240" w:lineRule="auto"/>
        <w:ind w:left="425"/>
        <w:rPr>
          <w:rFonts w:ascii="Tahoma" w:hAnsi="Tahoma" w:cs="Tahoma"/>
          <w:b/>
          <w:i/>
          <w:iCs/>
          <w:szCs w:val="20"/>
        </w:rPr>
      </w:pPr>
      <w:r w:rsidRPr="00690823">
        <w:rPr>
          <w:rFonts w:ascii="Tahoma" w:hAnsi="Tahoma" w:cs="Tahoma"/>
          <w:b/>
          <w:i/>
          <w:iCs/>
          <w:szCs w:val="20"/>
        </w:rPr>
        <w:t>Stage 2 - formal written warning</w:t>
      </w:r>
    </w:p>
    <w:p w14:paraId="041F7555" w14:textId="77777777" w:rsidR="00A76A0D" w:rsidRPr="00690823" w:rsidRDefault="00A76A0D" w:rsidP="00690823">
      <w:pPr>
        <w:pStyle w:val="CM53"/>
        <w:ind w:left="426"/>
        <w:rPr>
          <w:rFonts w:ascii="Tahoma" w:hAnsi="Tahoma" w:cs="Tahoma"/>
          <w:szCs w:val="20"/>
        </w:rPr>
      </w:pPr>
      <w:r w:rsidRPr="00690823">
        <w:rPr>
          <w:rFonts w:ascii="Tahoma" w:hAnsi="Tahoma" w:cs="Tahoma"/>
          <w:szCs w:val="20"/>
        </w:rPr>
        <w:t>A formal written warning is normally given when the misconduct or level of performance is more serious, but falls short of serious misconduct or a serious performance issue, or as an escalation from a formal verbal warning that has not corrected the misconduct or performance shortfall.</w:t>
      </w:r>
      <w:r w:rsidR="000C2706" w:rsidRPr="00690823">
        <w:rPr>
          <w:rFonts w:ascii="Tahoma" w:hAnsi="Tahoma" w:cs="Tahoma"/>
          <w:szCs w:val="20"/>
        </w:rPr>
        <w:t xml:space="preserve">  The formal written warning will normally remain in force for a </w:t>
      </w:r>
      <w:proofErr w:type="gramStart"/>
      <w:r w:rsidR="000C2706" w:rsidRPr="00690823">
        <w:rPr>
          <w:rFonts w:ascii="Tahoma" w:hAnsi="Tahoma" w:cs="Tahoma"/>
          <w:szCs w:val="20"/>
        </w:rPr>
        <w:t>6 month</w:t>
      </w:r>
      <w:proofErr w:type="gramEnd"/>
      <w:r w:rsidR="000C2706" w:rsidRPr="00690823">
        <w:rPr>
          <w:rFonts w:ascii="Tahoma" w:hAnsi="Tahoma" w:cs="Tahoma"/>
          <w:szCs w:val="20"/>
        </w:rPr>
        <w:t xml:space="preserve"> period.</w:t>
      </w:r>
    </w:p>
    <w:p w14:paraId="45E4E032" w14:textId="4EABC660" w:rsidR="00A76A0D" w:rsidRPr="00690823" w:rsidRDefault="000C2706" w:rsidP="00690823">
      <w:pPr>
        <w:pStyle w:val="CM53"/>
        <w:ind w:left="426"/>
        <w:rPr>
          <w:rFonts w:ascii="Tahoma" w:hAnsi="Tahoma" w:cs="Tahoma"/>
          <w:szCs w:val="20"/>
        </w:rPr>
      </w:pPr>
      <w:r w:rsidRPr="00690823">
        <w:rPr>
          <w:rFonts w:ascii="Tahoma" w:hAnsi="Tahoma" w:cs="Tahoma"/>
          <w:szCs w:val="20"/>
        </w:rPr>
        <w:t xml:space="preserve">In some cases,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Pr="00690823">
        <w:rPr>
          <w:rFonts w:ascii="Tahoma" w:hAnsi="Tahoma" w:cs="Tahoma"/>
          <w:szCs w:val="20"/>
        </w:rPr>
        <w:t>may consider it appropriate to issue a</w:t>
      </w:r>
      <w:r w:rsidR="00A76A0D" w:rsidRPr="00690823">
        <w:rPr>
          <w:rFonts w:ascii="Tahoma" w:hAnsi="Tahoma" w:cs="Tahoma"/>
          <w:szCs w:val="20"/>
        </w:rPr>
        <w:t xml:space="preserve"> second </w:t>
      </w:r>
      <w:r w:rsidRPr="00690823">
        <w:rPr>
          <w:rFonts w:ascii="Tahoma" w:hAnsi="Tahoma" w:cs="Tahoma"/>
          <w:szCs w:val="20"/>
        </w:rPr>
        <w:t xml:space="preserve">formal </w:t>
      </w:r>
      <w:r w:rsidR="00A76A0D" w:rsidRPr="00690823">
        <w:rPr>
          <w:rFonts w:ascii="Tahoma" w:hAnsi="Tahoma" w:cs="Tahoma"/>
          <w:szCs w:val="20"/>
        </w:rPr>
        <w:t>written warning</w:t>
      </w:r>
      <w:r w:rsidRPr="00690823">
        <w:rPr>
          <w:rFonts w:ascii="Tahoma" w:hAnsi="Tahoma" w:cs="Tahoma"/>
          <w:szCs w:val="20"/>
        </w:rPr>
        <w:t>, such as when</w:t>
      </w:r>
      <w:r w:rsidR="00A76A0D" w:rsidRPr="00690823">
        <w:rPr>
          <w:rFonts w:ascii="Tahoma" w:hAnsi="Tahoma" w:cs="Tahoma"/>
          <w:szCs w:val="20"/>
        </w:rPr>
        <w:t xml:space="preserve"> a minor misconduct </w:t>
      </w:r>
      <w:r w:rsidRPr="00690823">
        <w:rPr>
          <w:rFonts w:ascii="Tahoma" w:hAnsi="Tahoma" w:cs="Tahoma"/>
          <w:szCs w:val="20"/>
        </w:rPr>
        <w:t xml:space="preserve">or performance issue </w:t>
      </w:r>
      <w:r w:rsidR="00A76A0D" w:rsidRPr="00690823">
        <w:rPr>
          <w:rFonts w:ascii="Tahoma" w:hAnsi="Tahoma" w:cs="Tahoma"/>
          <w:szCs w:val="20"/>
        </w:rPr>
        <w:t xml:space="preserve">has re-occurred following a </w:t>
      </w:r>
      <w:r w:rsidRPr="00690823">
        <w:rPr>
          <w:rFonts w:ascii="Tahoma" w:hAnsi="Tahoma" w:cs="Tahoma"/>
          <w:szCs w:val="20"/>
        </w:rPr>
        <w:t xml:space="preserve">formal verbal and </w:t>
      </w:r>
      <w:r w:rsidR="00A76A0D" w:rsidRPr="00690823">
        <w:rPr>
          <w:rFonts w:ascii="Tahoma" w:hAnsi="Tahoma" w:cs="Tahoma"/>
          <w:szCs w:val="20"/>
        </w:rPr>
        <w:t>first written warning.</w:t>
      </w:r>
    </w:p>
    <w:p w14:paraId="7879BF58" w14:textId="77777777" w:rsidR="001A4FCB" w:rsidRPr="00690823" w:rsidRDefault="001A4FCB" w:rsidP="00690823">
      <w:pPr>
        <w:pStyle w:val="CM9"/>
        <w:spacing w:before="120" w:after="120" w:line="240" w:lineRule="auto"/>
        <w:ind w:left="425"/>
        <w:rPr>
          <w:rFonts w:ascii="Tahoma" w:hAnsi="Tahoma" w:cs="Tahoma"/>
          <w:b/>
          <w:i/>
          <w:iCs/>
          <w:szCs w:val="20"/>
        </w:rPr>
      </w:pPr>
      <w:r w:rsidRPr="00690823">
        <w:rPr>
          <w:rFonts w:ascii="Tahoma" w:hAnsi="Tahoma" w:cs="Tahoma"/>
          <w:b/>
          <w:i/>
          <w:iCs/>
          <w:szCs w:val="20"/>
        </w:rPr>
        <w:t xml:space="preserve">Stage </w:t>
      </w:r>
      <w:r w:rsidR="00A76A0D" w:rsidRPr="00690823">
        <w:rPr>
          <w:rFonts w:ascii="Tahoma" w:hAnsi="Tahoma" w:cs="Tahoma"/>
          <w:b/>
          <w:i/>
          <w:iCs/>
          <w:szCs w:val="20"/>
        </w:rPr>
        <w:t>3</w:t>
      </w:r>
      <w:r w:rsidRPr="00690823">
        <w:rPr>
          <w:rFonts w:ascii="Tahoma" w:hAnsi="Tahoma" w:cs="Tahoma"/>
          <w:b/>
          <w:i/>
          <w:iCs/>
          <w:szCs w:val="20"/>
        </w:rPr>
        <w:t xml:space="preserve"> – final written warning</w:t>
      </w:r>
    </w:p>
    <w:p w14:paraId="71AE835C" w14:textId="77777777" w:rsidR="00A76A0D" w:rsidRPr="00690823" w:rsidRDefault="00A76A0D" w:rsidP="00690823">
      <w:pPr>
        <w:pStyle w:val="CM53"/>
        <w:ind w:left="426"/>
        <w:rPr>
          <w:rFonts w:ascii="Tahoma" w:hAnsi="Tahoma" w:cs="Tahoma"/>
          <w:szCs w:val="20"/>
        </w:rPr>
      </w:pPr>
      <w:r w:rsidRPr="00690823">
        <w:rPr>
          <w:rFonts w:ascii="Tahoma" w:hAnsi="Tahoma" w:cs="Tahoma"/>
          <w:szCs w:val="20"/>
        </w:rPr>
        <w:t xml:space="preserve">Depending on the seriousness of the misconduct or level of the shortfall in performance level, this is the next stage after a first or </w:t>
      </w:r>
      <w:r w:rsidR="000C2706" w:rsidRPr="00690823">
        <w:rPr>
          <w:rFonts w:ascii="Tahoma" w:hAnsi="Tahoma" w:cs="Tahoma"/>
          <w:szCs w:val="20"/>
        </w:rPr>
        <w:t xml:space="preserve">any applicable </w:t>
      </w:r>
      <w:r w:rsidRPr="00690823">
        <w:rPr>
          <w:rFonts w:ascii="Tahoma" w:hAnsi="Tahoma" w:cs="Tahoma"/>
          <w:szCs w:val="20"/>
        </w:rPr>
        <w:t xml:space="preserve">second written warning.  A final written warning can </w:t>
      </w:r>
      <w:r w:rsidR="000C2706" w:rsidRPr="00690823">
        <w:rPr>
          <w:rFonts w:ascii="Tahoma" w:hAnsi="Tahoma" w:cs="Tahoma"/>
          <w:szCs w:val="20"/>
        </w:rPr>
        <w:t xml:space="preserve">also </w:t>
      </w:r>
      <w:r w:rsidRPr="00690823">
        <w:rPr>
          <w:rFonts w:ascii="Tahoma" w:hAnsi="Tahoma" w:cs="Tahoma"/>
          <w:szCs w:val="20"/>
        </w:rPr>
        <w:t xml:space="preserve">be given in the first instance if the misconduct or performance issue is sufficiently serious.  The warning will </w:t>
      </w:r>
      <w:r w:rsidR="000C2706" w:rsidRPr="00690823">
        <w:rPr>
          <w:rFonts w:ascii="Tahoma" w:hAnsi="Tahoma" w:cs="Tahoma"/>
          <w:szCs w:val="20"/>
        </w:rPr>
        <w:t xml:space="preserve">normally </w:t>
      </w:r>
      <w:r w:rsidRPr="00690823">
        <w:rPr>
          <w:rFonts w:ascii="Tahoma" w:hAnsi="Tahoma" w:cs="Tahoma"/>
          <w:szCs w:val="20"/>
        </w:rPr>
        <w:t xml:space="preserve">remain in force for a </w:t>
      </w:r>
      <w:proofErr w:type="gramStart"/>
      <w:r w:rsidRPr="00690823">
        <w:rPr>
          <w:rFonts w:ascii="Tahoma" w:hAnsi="Tahoma" w:cs="Tahoma"/>
          <w:szCs w:val="20"/>
        </w:rPr>
        <w:t>twelve month</w:t>
      </w:r>
      <w:proofErr w:type="gramEnd"/>
      <w:r w:rsidRPr="00690823">
        <w:rPr>
          <w:rFonts w:ascii="Tahoma" w:hAnsi="Tahoma" w:cs="Tahoma"/>
          <w:szCs w:val="20"/>
        </w:rPr>
        <w:t xml:space="preserve"> period.</w:t>
      </w:r>
    </w:p>
    <w:p w14:paraId="4EF24BF2" w14:textId="77777777" w:rsidR="000B47B1" w:rsidRPr="00690823" w:rsidRDefault="000B47B1" w:rsidP="00690823">
      <w:pPr>
        <w:pStyle w:val="CM9"/>
        <w:spacing w:before="120" w:after="120" w:line="240" w:lineRule="auto"/>
        <w:ind w:left="425"/>
        <w:rPr>
          <w:rFonts w:ascii="Tahoma" w:hAnsi="Tahoma" w:cs="Tahoma"/>
          <w:b/>
          <w:i/>
          <w:iCs/>
          <w:szCs w:val="20"/>
        </w:rPr>
      </w:pPr>
    </w:p>
    <w:p w14:paraId="40584F91" w14:textId="77777777" w:rsidR="001A4FCB" w:rsidRPr="00690823" w:rsidRDefault="00A76A0D" w:rsidP="00690823">
      <w:pPr>
        <w:pStyle w:val="CM9"/>
        <w:spacing w:before="120" w:after="120" w:line="240" w:lineRule="auto"/>
        <w:rPr>
          <w:rFonts w:ascii="Tahoma" w:hAnsi="Tahoma" w:cs="Tahoma"/>
          <w:b/>
          <w:i/>
          <w:iCs/>
          <w:szCs w:val="20"/>
        </w:rPr>
      </w:pPr>
      <w:r w:rsidRPr="00690823">
        <w:rPr>
          <w:rFonts w:ascii="Tahoma" w:hAnsi="Tahoma" w:cs="Tahoma"/>
          <w:b/>
          <w:i/>
          <w:iCs/>
          <w:szCs w:val="20"/>
        </w:rPr>
        <w:t>Stage 4</w:t>
      </w:r>
      <w:r w:rsidR="001A4FCB" w:rsidRPr="00690823">
        <w:rPr>
          <w:rFonts w:ascii="Tahoma" w:hAnsi="Tahoma" w:cs="Tahoma"/>
          <w:b/>
          <w:i/>
          <w:iCs/>
          <w:szCs w:val="20"/>
        </w:rPr>
        <w:t xml:space="preserve"> – dismissal or action short of dismissal </w:t>
      </w:r>
    </w:p>
    <w:p w14:paraId="16F1408D" w14:textId="77777777" w:rsidR="001A4FCB" w:rsidRPr="00690823" w:rsidRDefault="001A4FCB" w:rsidP="00690823">
      <w:pPr>
        <w:pStyle w:val="CM53"/>
        <w:ind w:left="426"/>
        <w:rPr>
          <w:rFonts w:ascii="Tahoma" w:hAnsi="Tahoma" w:cs="Tahoma"/>
          <w:szCs w:val="20"/>
        </w:rPr>
      </w:pPr>
      <w:r w:rsidRPr="00690823">
        <w:rPr>
          <w:rFonts w:ascii="Tahoma" w:hAnsi="Tahoma" w:cs="Tahoma"/>
          <w:szCs w:val="20"/>
        </w:rPr>
        <w:t>If the conduct or performance has failed to improve</w:t>
      </w:r>
      <w:r w:rsidR="000C2706" w:rsidRPr="00690823">
        <w:rPr>
          <w:rFonts w:ascii="Tahoma" w:hAnsi="Tahoma" w:cs="Tahoma"/>
          <w:szCs w:val="20"/>
        </w:rPr>
        <w:t xml:space="preserve"> or is of a serious enough nature</w:t>
      </w:r>
      <w:r w:rsidRPr="00690823">
        <w:rPr>
          <w:rFonts w:ascii="Tahoma" w:hAnsi="Tahoma" w:cs="Tahoma"/>
          <w:szCs w:val="20"/>
        </w:rPr>
        <w:t>, the employee may suffer demotion, disciplinary transfer, loss of seniority (as allowed in the contract) or dismissal</w:t>
      </w:r>
      <w:r w:rsidR="000C2706" w:rsidRPr="00690823">
        <w:rPr>
          <w:rFonts w:ascii="Tahoma" w:hAnsi="Tahoma" w:cs="Tahoma"/>
          <w:szCs w:val="20"/>
        </w:rPr>
        <w:t xml:space="preserve"> (with or without notice or payment in lieu of notice, as appropriate)</w:t>
      </w:r>
      <w:r w:rsidRPr="00690823">
        <w:rPr>
          <w:rFonts w:ascii="Tahoma" w:hAnsi="Tahoma" w:cs="Tahoma"/>
          <w:szCs w:val="20"/>
        </w:rPr>
        <w:t xml:space="preserve">. </w:t>
      </w:r>
    </w:p>
    <w:p w14:paraId="404610A7" w14:textId="77777777" w:rsidR="001A4FCB" w:rsidRPr="00690823" w:rsidRDefault="001A4FCB" w:rsidP="00690823">
      <w:pPr>
        <w:pStyle w:val="CM9"/>
        <w:numPr>
          <w:ilvl w:val="1"/>
          <w:numId w:val="10"/>
        </w:numPr>
        <w:spacing w:before="120" w:after="120" w:line="240" w:lineRule="auto"/>
        <w:rPr>
          <w:rFonts w:ascii="Tahoma" w:hAnsi="Tahoma" w:cs="Tahoma"/>
          <w:b/>
          <w:iCs/>
          <w:szCs w:val="20"/>
        </w:rPr>
      </w:pPr>
      <w:r w:rsidRPr="00690823">
        <w:rPr>
          <w:rFonts w:ascii="Tahoma" w:hAnsi="Tahoma" w:cs="Tahoma"/>
          <w:b/>
          <w:iCs/>
          <w:szCs w:val="20"/>
        </w:rPr>
        <w:t xml:space="preserve">Gross misconduct </w:t>
      </w:r>
    </w:p>
    <w:p w14:paraId="5AF9AFAE" w14:textId="52123CD8" w:rsidR="001A4FCB" w:rsidRPr="00690823" w:rsidRDefault="001A4FCB" w:rsidP="00690823">
      <w:pPr>
        <w:pStyle w:val="CM53"/>
        <w:ind w:left="426"/>
        <w:rPr>
          <w:rFonts w:ascii="Tahoma" w:hAnsi="Tahoma" w:cs="Tahoma"/>
          <w:szCs w:val="20"/>
        </w:rPr>
      </w:pPr>
      <w:r w:rsidRPr="00690823">
        <w:rPr>
          <w:rFonts w:ascii="Tahoma" w:hAnsi="Tahoma" w:cs="Tahoma"/>
          <w:szCs w:val="20"/>
        </w:rPr>
        <w:t>If, after investigation</w:t>
      </w:r>
      <w:r w:rsidR="008B3C77" w:rsidRPr="00690823">
        <w:rPr>
          <w:rFonts w:ascii="Tahoma" w:hAnsi="Tahoma" w:cs="Tahoma"/>
          <w:szCs w:val="20"/>
        </w:rPr>
        <w:t xml:space="preserve"> and a disciplinary hearing</w:t>
      </w:r>
      <w:r w:rsidRPr="00690823">
        <w:rPr>
          <w:rFonts w:ascii="Tahoma" w:hAnsi="Tahoma" w:cs="Tahoma"/>
          <w:szCs w:val="20"/>
        </w:rPr>
        <w:t xml:space="preserve">,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FE7668" w:rsidRPr="00690823">
        <w:rPr>
          <w:rFonts w:ascii="Tahoma" w:hAnsi="Tahoma" w:cs="Tahoma"/>
          <w:szCs w:val="20"/>
        </w:rPr>
        <w:t xml:space="preserve"> </w:t>
      </w:r>
      <w:r w:rsidR="008B3C77" w:rsidRPr="00690823">
        <w:rPr>
          <w:rFonts w:ascii="Tahoma" w:hAnsi="Tahoma" w:cs="Tahoma"/>
          <w:szCs w:val="20"/>
        </w:rPr>
        <w:t>considers</w:t>
      </w:r>
      <w:r w:rsidRPr="00690823">
        <w:rPr>
          <w:rFonts w:ascii="Tahoma" w:hAnsi="Tahoma" w:cs="Tahoma"/>
          <w:szCs w:val="20"/>
        </w:rPr>
        <w:t xml:space="preserve"> that an employee has committed an offence of the following nature (the list is not exhaustive), </w:t>
      </w:r>
      <w:r w:rsidRPr="00690823">
        <w:rPr>
          <w:rFonts w:ascii="Tahoma" w:hAnsi="Tahoma" w:cs="Tahoma"/>
          <w:szCs w:val="20"/>
        </w:rPr>
        <w:lastRenderedPageBreak/>
        <w:t xml:space="preserve">the normal consequence will be dismissal without notice </w:t>
      </w:r>
      <w:r w:rsidR="00E81F0B" w:rsidRPr="00690823">
        <w:rPr>
          <w:rFonts w:ascii="Tahoma" w:hAnsi="Tahoma" w:cs="Tahoma"/>
          <w:szCs w:val="20"/>
        </w:rPr>
        <w:t>and without</w:t>
      </w:r>
      <w:r w:rsidRPr="00690823">
        <w:rPr>
          <w:rFonts w:ascii="Tahoma" w:hAnsi="Tahoma" w:cs="Tahoma"/>
          <w:szCs w:val="20"/>
        </w:rPr>
        <w:t xml:space="preserve"> payment in lieu of notice: </w:t>
      </w:r>
    </w:p>
    <w:p w14:paraId="37D59E52" w14:textId="043F3DE3" w:rsidR="001A4FCB" w:rsidRPr="00690823" w:rsidRDefault="00842BA1" w:rsidP="00690823">
      <w:pPr>
        <w:pStyle w:val="CM53"/>
        <w:spacing w:before="120" w:after="120"/>
        <w:ind w:left="720"/>
        <w:rPr>
          <w:rFonts w:ascii="Tahoma" w:hAnsi="Tahoma" w:cs="Tahoma"/>
          <w:szCs w:val="20"/>
        </w:rPr>
      </w:pPr>
      <w:r w:rsidRPr="00690823">
        <w:rPr>
          <w:rFonts w:ascii="Tahoma" w:hAnsi="Tahoma" w:cs="Tahoma"/>
          <w:szCs w:val="20"/>
        </w:rPr>
        <w:t xml:space="preserve">Refusal to carry out a reasonable instruction; insulting, indecent or offensive behaviour; </w:t>
      </w:r>
      <w:r w:rsidR="001A4FCB" w:rsidRPr="00690823">
        <w:rPr>
          <w:rFonts w:ascii="Tahoma" w:hAnsi="Tahoma" w:cs="Tahoma"/>
          <w:szCs w:val="20"/>
        </w:rPr>
        <w:t>theft</w:t>
      </w:r>
      <w:r w:rsidRPr="00690823">
        <w:rPr>
          <w:rFonts w:ascii="Tahoma" w:hAnsi="Tahoma" w:cs="Tahoma"/>
          <w:szCs w:val="20"/>
        </w:rPr>
        <w:t xml:space="preserve"> or attempted theft;</w:t>
      </w:r>
      <w:r w:rsidR="001A4FCB" w:rsidRPr="00690823">
        <w:rPr>
          <w:rFonts w:ascii="Tahoma" w:hAnsi="Tahoma" w:cs="Tahoma"/>
          <w:szCs w:val="20"/>
        </w:rPr>
        <w:t xml:space="preserve"> damage to property</w:t>
      </w:r>
      <w:r w:rsidRPr="00690823">
        <w:rPr>
          <w:rFonts w:ascii="Tahoma" w:hAnsi="Tahoma" w:cs="Tahoma"/>
          <w:szCs w:val="20"/>
        </w:rPr>
        <w:t>;</w:t>
      </w:r>
      <w:r w:rsidR="001A4FCB" w:rsidRPr="00690823">
        <w:rPr>
          <w:rFonts w:ascii="Tahoma" w:hAnsi="Tahoma" w:cs="Tahoma"/>
          <w:szCs w:val="20"/>
        </w:rPr>
        <w:t xml:space="preserve"> fraud</w:t>
      </w:r>
      <w:r w:rsidRPr="00690823">
        <w:rPr>
          <w:rFonts w:ascii="Tahoma" w:hAnsi="Tahoma" w:cs="Tahoma"/>
          <w:szCs w:val="20"/>
        </w:rPr>
        <w:t>, cheating or taking a bribe;</w:t>
      </w:r>
      <w:r w:rsidR="001A4FCB" w:rsidRPr="00690823">
        <w:rPr>
          <w:rFonts w:ascii="Tahoma" w:hAnsi="Tahoma" w:cs="Tahoma"/>
          <w:szCs w:val="20"/>
        </w:rPr>
        <w:t xml:space="preserve"> incapacity for work due to being under the influence of alcohol or illegal drugs</w:t>
      </w:r>
      <w:r w:rsidRPr="00690823">
        <w:rPr>
          <w:rFonts w:ascii="Tahoma" w:hAnsi="Tahoma" w:cs="Tahoma"/>
          <w:szCs w:val="20"/>
        </w:rPr>
        <w:t>;</w:t>
      </w:r>
      <w:r w:rsidR="001A4FCB" w:rsidRPr="00690823">
        <w:rPr>
          <w:rFonts w:ascii="Tahoma" w:hAnsi="Tahoma" w:cs="Tahoma"/>
          <w:szCs w:val="20"/>
        </w:rPr>
        <w:t xml:space="preserve"> physical violence</w:t>
      </w:r>
      <w:r w:rsidRPr="00690823">
        <w:rPr>
          <w:rFonts w:ascii="Tahoma" w:hAnsi="Tahoma" w:cs="Tahoma"/>
          <w:szCs w:val="20"/>
        </w:rPr>
        <w:t>;</w:t>
      </w:r>
      <w:r w:rsidR="001A4FCB" w:rsidRPr="00690823">
        <w:rPr>
          <w:rFonts w:ascii="Tahoma" w:hAnsi="Tahoma" w:cs="Tahoma"/>
          <w:szCs w:val="20"/>
        </w:rPr>
        <w:t xml:space="preserve"> </w:t>
      </w:r>
      <w:r w:rsidRPr="00690823">
        <w:rPr>
          <w:rFonts w:ascii="Tahoma" w:hAnsi="Tahoma" w:cs="Tahoma"/>
          <w:szCs w:val="20"/>
        </w:rPr>
        <w:t xml:space="preserve">wilful giving of advice to voluntary community organisations without authorisation which is detrimental to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Pr="00690823">
        <w:rPr>
          <w:rFonts w:ascii="Tahoma" w:hAnsi="Tahoma" w:cs="Tahoma"/>
          <w:szCs w:val="20"/>
        </w:rPr>
        <w:t xml:space="preserve">; </w:t>
      </w:r>
      <w:r w:rsidR="001A4FCB" w:rsidRPr="00690823">
        <w:rPr>
          <w:rFonts w:ascii="Tahoma" w:hAnsi="Tahoma" w:cs="Tahoma"/>
          <w:szCs w:val="20"/>
        </w:rPr>
        <w:t>bullying</w:t>
      </w:r>
      <w:r w:rsidR="00E81F0B" w:rsidRPr="00690823">
        <w:rPr>
          <w:rFonts w:ascii="Tahoma" w:hAnsi="Tahoma" w:cs="Tahoma"/>
          <w:szCs w:val="20"/>
        </w:rPr>
        <w:t>; conduct which causes</w:t>
      </w:r>
      <w:r w:rsidR="008B3C77" w:rsidRPr="00690823">
        <w:rPr>
          <w:rFonts w:ascii="Tahoma" w:hAnsi="Tahoma" w:cs="Tahoma"/>
          <w:szCs w:val="20"/>
        </w:rPr>
        <w:t>, or has the potential to cause,</w:t>
      </w:r>
      <w:r w:rsidR="00E81F0B" w:rsidRPr="00690823">
        <w:rPr>
          <w:rFonts w:ascii="Tahoma" w:hAnsi="Tahoma" w:cs="Tahoma"/>
          <w:szCs w:val="20"/>
        </w:rPr>
        <w:t xml:space="preserve"> serious reputational or public harm to </w:t>
      </w:r>
      <w:proofErr w:type="spellStart"/>
      <w:r w:rsidR="00552985">
        <w:rPr>
          <w:rFonts w:ascii="Tahoma" w:hAnsi="Tahoma" w:cs="Tahoma"/>
          <w:szCs w:val="20"/>
        </w:rPr>
        <w:t>Sohbet</w:t>
      </w:r>
      <w:proofErr w:type="spellEnd"/>
      <w:r w:rsidR="00552985">
        <w:rPr>
          <w:rFonts w:ascii="Tahoma" w:hAnsi="Tahoma" w:cs="Tahoma"/>
          <w:szCs w:val="20"/>
        </w:rPr>
        <w:t xml:space="preserve"> Society</w:t>
      </w:r>
      <w:r w:rsidR="00E81F0B" w:rsidRPr="00690823">
        <w:rPr>
          <w:rFonts w:ascii="Tahoma" w:hAnsi="Tahoma" w:cs="Tahoma"/>
          <w:szCs w:val="20"/>
        </w:rPr>
        <w:t xml:space="preserve">; </w:t>
      </w:r>
      <w:r w:rsidR="00B838AC" w:rsidRPr="00690823">
        <w:rPr>
          <w:rFonts w:ascii="Tahoma" w:hAnsi="Tahoma" w:cs="Tahoma"/>
          <w:szCs w:val="20"/>
        </w:rPr>
        <w:t xml:space="preserve">safeguarding breached; </w:t>
      </w:r>
      <w:r w:rsidR="00E81F0B" w:rsidRPr="00690823">
        <w:rPr>
          <w:rFonts w:ascii="Tahoma" w:hAnsi="Tahoma" w:cs="Tahoma"/>
          <w:szCs w:val="20"/>
        </w:rPr>
        <w:t>gross insubordination; a criminal offence while employed which renders the employee unsuitable to carry out their duties; serious breach of data protection or confidentiality</w:t>
      </w:r>
      <w:r w:rsidR="008B3C77" w:rsidRPr="00690823">
        <w:rPr>
          <w:rFonts w:ascii="Tahoma" w:hAnsi="Tahoma" w:cs="Tahoma"/>
          <w:szCs w:val="20"/>
        </w:rPr>
        <w:t xml:space="preserve"> and/or committing any other offence of a similar gravity to the examples above</w:t>
      </w:r>
      <w:r w:rsidR="00E81F0B" w:rsidRPr="00690823">
        <w:rPr>
          <w:rFonts w:ascii="Tahoma" w:hAnsi="Tahoma" w:cs="Tahoma"/>
          <w:szCs w:val="20"/>
        </w:rPr>
        <w:t>.</w:t>
      </w:r>
    </w:p>
    <w:p w14:paraId="19279026" w14:textId="77777777" w:rsidR="001A4FCB" w:rsidRPr="00690823" w:rsidRDefault="001A4FCB" w:rsidP="00690823">
      <w:pPr>
        <w:pStyle w:val="CM53"/>
        <w:ind w:left="426" w:right="91"/>
        <w:rPr>
          <w:rFonts w:ascii="Tahoma" w:hAnsi="Tahoma" w:cs="Tahoma"/>
          <w:szCs w:val="20"/>
        </w:rPr>
      </w:pPr>
      <w:r w:rsidRPr="00690823">
        <w:rPr>
          <w:rFonts w:ascii="Tahoma" w:hAnsi="Tahoma" w:cs="Tahoma"/>
          <w:szCs w:val="20"/>
        </w:rPr>
        <w:t>While the alleged gross misconduct is being investigated, the employee may be suspended, during which time he or she will be paid their normal pay rate.</w:t>
      </w:r>
      <w:r w:rsidR="004E2F95" w:rsidRPr="00690823">
        <w:rPr>
          <w:rFonts w:ascii="Tahoma" w:hAnsi="Tahoma" w:cs="Tahoma"/>
          <w:szCs w:val="20"/>
        </w:rPr>
        <w:t xml:space="preserve"> </w:t>
      </w:r>
      <w:r w:rsidRPr="00690823">
        <w:rPr>
          <w:rFonts w:ascii="Tahoma" w:hAnsi="Tahoma" w:cs="Tahoma"/>
          <w:szCs w:val="20"/>
        </w:rPr>
        <w:t xml:space="preserve"> Any decision to dismiss will be taken by the employer only after full investigation</w:t>
      </w:r>
      <w:r w:rsidR="008B3C77" w:rsidRPr="00690823">
        <w:rPr>
          <w:rFonts w:ascii="Tahoma" w:hAnsi="Tahoma" w:cs="Tahoma"/>
          <w:szCs w:val="20"/>
        </w:rPr>
        <w:t xml:space="preserve"> and a disciplinary hearing, at which the employee has had an opportunity to comment on the allegations</w:t>
      </w:r>
      <w:r w:rsidRPr="00690823">
        <w:rPr>
          <w:rFonts w:ascii="Tahoma" w:hAnsi="Tahoma" w:cs="Tahoma"/>
          <w:szCs w:val="20"/>
        </w:rPr>
        <w:t xml:space="preserve">. </w:t>
      </w:r>
    </w:p>
    <w:p w14:paraId="1DD1CBE9" w14:textId="77777777" w:rsidR="00B838AC" w:rsidRPr="00690823" w:rsidRDefault="00B838AC" w:rsidP="00690823">
      <w:pPr>
        <w:pStyle w:val="Default"/>
        <w:rPr>
          <w:rFonts w:ascii="Tahoma" w:hAnsi="Tahoma" w:cs="Tahoma"/>
        </w:rPr>
      </w:pPr>
      <w:r w:rsidRPr="00690823">
        <w:rPr>
          <w:rFonts w:ascii="Tahoma" w:hAnsi="Tahoma" w:cs="Tahoma"/>
        </w:rPr>
        <w:tab/>
      </w:r>
    </w:p>
    <w:p w14:paraId="148875C6" w14:textId="77777777" w:rsidR="00B838AC" w:rsidRPr="00690823" w:rsidRDefault="00B838AC" w:rsidP="00690823">
      <w:pPr>
        <w:pStyle w:val="Default"/>
        <w:ind w:left="426" w:firstLine="84"/>
        <w:rPr>
          <w:rFonts w:ascii="Tahoma" w:hAnsi="Tahoma" w:cs="Tahoma"/>
        </w:rPr>
      </w:pPr>
      <w:r w:rsidRPr="00690823">
        <w:rPr>
          <w:rFonts w:ascii="Tahoma" w:hAnsi="Tahoma" w:cs="Tahoma"/>
        </w:rPr>
        <w:t>Safeguarding breaches are an act of gross misconduct and will result in summary         dismissal</w:t>
      </w:r>
    </w:p>
    <w:p w14:paraId="521AF562" w14:textId="77777777" w:rsidR="001A4FCB" w:rsidRPr="00690823" w:rsidRDefault="001A4FCB" w:rsidP="00690823">
      <w:pPr>
        <w:pStyle w:val="CM9"/>
        <w:numPr>
          <w:ilvl w:val="0"/>
          <w:numId w:val="10"/>
        </w:numPr>
        <w:spacing w:before="240" w:after="240" w:line="240" w:lineRule="auto"/>
        <w:ind w:left="357" w:hanging="357"/>
        <w:rPr>
          <w:rFonts w:ascii="Tahoma" w:hAnsi="Tahoma" w:cs="Tahoma"/>
          <w:b/>
          <w:bCs/>
          <w:szCs w:val="20"/>
        </w:rPr>
      </w:pPr>
      <w:r w:rsidRPr="00690823">
        <w:rPr>
          <w:rFonts w:ascii="Tahoma" w:hAnsi="Tahoma" w:cs="Tahoma"/>
          <w:b/>
          <w:bCs/>
          <w:szCs w:val="20"/>
        </w:rPr>
        <w:t xml:space="preserve">Appeals </w:t>
      </w:r>
    </w:p>
    <w:p w14:paraId="6F44A33D" w14:textId="703A6F4B" w:rsidR="008B3C77" w:rsidRPr="00690823" w:rsidRDefault="001A4FCB" w:rsidP="00690823">
      <w:pPr>
        <w:spacing w:line="240" w:lineRule="auto"/>
        <w:rPr>
          <w:rFonts w:ascii="Tahoma" w:hAnsi="Tahoma" w:cs="Tahoma"/>
          <w:sz w:val="24"/>
          <w:szCs w:val="20"/>
        </w:rPr>
      </w:pPr>
      <w:r w:rsidRPr="00690823">
        <w:rPr>
          <w:rFonts w:ascii="Tahoma" w:hAnsi="Tahoma" w:cs="Tahoma"/>
          <w:sz w:val="24"/>
          <w:szCs w:val="20"/>
        </w:rPr>
        <w:t>An employee who wishes to appeal against any discipl</w:t>
      </w:r>
      <w:r w:rsidR="00FC61C9" w:rsidRPr="00690823">
        <w:rPr>
          <w:rFonts w:ascii="Tahoma" w:hAnsi="Tahoma" w:cs="Tahoma"/>
          <w:sz w:val="24"/>
          <w:szCs w:val="20"/>
        </w:rPr>
        <w:t xml:space="preserve">inary decision must do so in writing to </w:t>
      </w:r>
      <w:proofErr w:type="spellStart"/>
      <w:r w:rsidR="00552985">
        <w:rPr>
          <w:rFonts w:ascii="Tahoma" w:hAnsi="Tahoma" w:cs="Tahoma"/>
          <w:sz w:val="24"/>
          <w:szCs w:val="20"/>
        </w:rPr>
        <w:t>Sohbet</w:t>
      </w:r>
      <w:proofErr w:type="spellEnd"/>
      <w:r w:rsidR="00552985">
        <w:rPr>
          <w:rFonts w:ascii="Tahoma" w:hAnsi="Tahoma" w:cs="Tahoma"/>
          <w:sz w:val="24"/>
          <w:szCs w:val="20"/>
        </w:rPr>
        <w:t xml:space="preserve"> Society</w:t>
      </w:r>
      <w:r w:rsidR="00F35F8E">
        <w:rPr>
          <w:rFonts w:ascii="Tahoma" w:hAnsi="Tahoma" w:cs="Tahoma"/>
          <w:sz w:val="24"/>
          <w:szCs w:val="20"/>
        </w:rPr>
        <w:t>’s</w:t>
      </w:r>
      <w:r w:rsidR="00FE7668" w:rsidRPr="00690823">
        <w:rPr>
          <w:rFonts w:ascii="Tahoma" w:hAnsi="Tahoma" w:cs="Tahoma"/>
          <w:sz w:val="24"/>
          <w:szCs w:val="20"/>
        </w:rPr>
        <w:t xml:space="preserve"> </w:t>
      </w:r>
      <w:r w:rsidR="008E3DA7" w:rsidRPr="00690823">
        <w:rPr>
          <w:rFonts w:ascii="Tahoma" w:hAnsi="Tahoma" w:cs="Tahoma"/>
          <w:sz w:val="24"/>
          <w:szCs w:val="20"/>
        </w:rPr>
        <w:t>C</w:t>
      </w:r>
      <w:r w:rsidR="00FC61C9" w:rsidRPr="00690823">
        <w:rPr>
          <w:rFonts w:ascii="Tahoma" w:hAnsi="Tahoma" w:cs="Tahoma"/>
          <w:sz w:val="24"/>
          <w:szCs w:val="20"/>
        </w:rPr>
        <w:t>hief Executive or their nominee</w:t>
      </w:r>
      <w:r w:rsidRPr="00690823">
        <w:rPr>
          <w:rFonts w:ascii="Tahoma" w:hAnsi="Tahoma" w:cs="Tahoma"/>
          <w:sz w:val="24"/>
          <w:szCs w:val="20"/>
        </w:rPr>
        <w:t xml:space="preserve"> </w:t>
      </w:r>
      <w:r w:rsidR="009D7DC0" w:rsidRPr="00690823">
        <w:rPr>
          <w:rFonts w:ascii="Tahoma" w:hAnsi="Tahoma" w:cs="Tahoma"/>
          <w:sz w:val="24"/>
          <w:szCs w:val="20"/>
        </w:rPr>
        <w:t>(</w:t>
      </w:r>
      <w:r w:rsidR="00DC0F7F" w:rsidRPr="00690823">
        <w:rPr>
          <w:rFonts w:ascii="Tahoma" w:hAnsi="Tahoma" w:cs="Tahoma"/>
          <w:sz w:val="24"/>
          <w:szCs w:val="20"/>
        </w:rPr>
        <w:t xml:space="preserve">normally </w:t>
      </w:r>
      <w:r w:rsidR="00FE7668" w:rsidRPr="00690823">
        <w:rPr>
          <w:rFonts w:ascii="Tahoma" w:hAnsi="Tahoma" w:cs="Tahoma"/>
          <w:sz w:val="24"/>
          <w:szCs w:val="20"/>
        </w:rPr>
        <w:t>line manager</w:t>
      </w:r>
      <w:r w:rsidR="009D7DC0" w:rsidRPr="00690823">
        <w:rPr>
          <w:rFonts w:ascii="Tahoma" w:hAnsi="Tahoma" w:cs="Tahoma"/>
          <w:sz w:val="24"/>
          <w:szCs w:val="20"/>
        </w:rPr>
        <w:t>) within ten</w:t>
      </w:r>
      <w:r w:rsidR="00FE7668" w:rsidRPr="00690823">
        <w:rPr>
          <w:rFonts w:ascii="Tahoma" w:hAnsi="Tahoma" w:cs="Tahoma"/>
          <w:sz w:val="24"/>
          <w:szCs w:val="20"/>
        </w:rPr>
        <w:t xml:space="preserve"> </w:t>
      </w:r>
      <w:r w:rsidRPr="00690823">
        <w:rPr>
          <w:rFonts w:ascii="Tahoma" w:hAnsi="Tahoma" w:cs="Tahoma"/>
          <w:sz w:val="24"/>
          <w:szCs w:val="20"/>
        </w:rPr>
        <w:t>days</w:t>
      </w:r>
      <w:r w:rsidR="008B3C77" w:rsidRPr="00690823">
        <w:rPr>
          <w:rFonts w:ascii="Tahoma" w:hAnsi="Tahoma" w:cs="Tahoma"/>
          <w:sz w:val="24"/>
          <w:szCs w:val="20"/>
        </w:rPr>
        <w:t xml:space="preserve"> of the disciplinary decision being confirmed to them in writing, stating the grounds upon which they intend to appeal</w:t>
      </w:r>
      <w:r w:rsidRPr="00690823">
        <w:rPr>
          <w:rFonts w:ascii="Tahoma" w:hAnsi="Tahoma" w:cs="Tahoma"/>
          <w:sz w:val="24"/>
          <w:szCs w:val="20"/>
        </w:rPr>
        <w:t>.</w:t>
      </w:r>
    </w:p>
    <w:p w14:paraId="373757EB" w14:textId="1CAC3619" w:rsidR="008B3C77" w:rsidRPr="00690823" w:rsidRDefault="008B3C77" w:rsidP="00690823">
      <w:pPr>
        <w:spacing w:line="240" w:lineRule="auto"/>
        <w:rPr>
          <w:rFonts w:ascii="Tahoma" w:hAnsi="Tahoma" w:cs="Tahoma"/>
          <w:sz w:val="24"/>
          <w:szCs w:val="20"/>
        </w:rPr>
      </w:pPr>
      <w:r w:rsidRPr="00690823">
        <w:rPr>
          <w:rFonts w:ascii="Tahoma" w:hAnsi="Tahoma" w:cs="Tahoma"/>
          <w:sz w:val="24"/>
          <w:szCs w:val="20"/>
        </w:rPr>
        <w:t xml:space="preserve">Once notice of an employee’s appeal has been received, </w:t>
      </w:r>
      <w:proofErr w:type="spellStart"/>
      <w:r w:rsidR="00552985">
        <w:rPr>
          <w:rFonts w:ascii="Tahoma" w:hAnsi="Tahoma" w:cs="Tahoma"/>
          <w:sz w:val="24"/>
          <w:szCs w:val="20"/>
        </w:rPr>
        <w:t>Sohbet</w:t>
      </w:r>
      <w:proofErr w:type="spellEnd"/>
      <w:r w:rsidR="00552985">
        <w:rPr>
          <w:rFonts w:ascii="Tahoma" w:hAnsi="Tahoma" w:cs="Tahoma"/>
          <w:sz w:val="24"/>
          <w:szCs w:val="20"/>
        </w:rPr>
        <w:t xml:space="preserve"> Society</w:t>
      </w:r>
      <w:r w:rsidR="00FE7668" w:rsidRPr="00690823">
        <w:rPr>
          <w:rFonts w:ascii="Tahoma" w:hAnsi="Tahoma" w:cs="Tahoma"/>
          <w:sz w:val="24"/>
          <w:szCs w:val="20"/>
        </w:rPr>
        <w:t xml:space="preserve"> </w:t>
      </w:r>
      <w:r w:rsidRPr="00690823">
        <w:rPr>
          <w:rFonts w:ascii="Tahoma" w:hAnsi="Tahoma" w:cs="Tahoma"/>
          <w:sz w:val="24"/>
          <w:szCs w:val="20"/>
        </w:rPr>
        <w:t>will</w:t>
      </w:r>
      <w:r w:rsidR="009D7DC0" w:rsidRPr="00690823">
        <w:rPr>
          <w:rFonts w:ascii="Tahoma" w:hAnsi="Tahoma" w:cs="Tahoma"/>
          <w:sz w:val="24"/>
          <w:szCs w:val="20"/>
        </w:rPr>
        <w:t>, within five working days,</w:t>
      </w:r>
      <w:r w:rsidRPr="00690823">
        <w:rPr>
          <w:rFonts w:ascii="Tahoma" w:hAnsi="Tahoma" w:cs="Tahoma"/>
          <w:sz w:val="24"/>
          <w:szCs w:val="20"/>
        </w:rPr>
        <w:t xml:space="preserve"> give th</w:t>
      </w:r>
      <w:r w:rsidR="009D7DC0" w:rsidRPr="00690823">
        <w:rPr>
          <w:rFonts w:ascii="Tahoma" w:hAnsi="Tahoma" w:cs="Tahoma"/>
          <w:sz w:val="24"/>
          <w:szCs w:val="20"/>
        </w:rPr>
        <w:t>e employee written notice of a</w:t>
      </w:r>
      <w:r w:rsidRPr="00690823">
        <w:rPr>
          <w:rFonts w:ascii="Tahoma" w:hAnsi="Tahoma" w:cs="Tahoma"/>
          <w:sz w:val="24"/>
          <w:szCs w:val="20"/>
        </w:rPr>
        <w:t xml:space="preserve"> date, time and place of the appeal meeting.  The employee will be entitled to be </w:t>
      </w:r>
      <w:r w:rsidR="009D7DC0" w:rsidRPr="00690823">
        <w:rPr>
          <w:rFonts w:ascii="Tahoma" w:hAnsi="Tahoma" w:cs="Tahoma"/>
          <w:sz w:val="24"/>
          <w:szCs w:val="20"/>
        </w:rPr>
        <w:t>accompanied at this meeting by their</w:t>
      </w:r>
      <w:r w:rsidRPr="00690823">
        <w:rPr>
          <w:rFonts w:ascii="Tahoma" w:hAnsi="Tahoma" w:cs="Tahoma"/>
          <w:sz w:val="24"/>
          <w:szCs w:val="20"/>
        </w:rPr>
        <w:t xml:space="preserve"> Chosen Companion.</w:t>
      </w:r>
    </w:p>
    <w:p w14:paraId="6134967B" w14:textId="5571C936" w:rsidR="00D06C3A" w:rsidRPr="00690823" w:rsidRDefault="008D74C3" w:rsidP="00690823">
      <w:pPr>
        <w:spacing w:line="240" w:lineRule="auto"/>
        <w:rPr>
          <w:rFonts w:ascii="Tahoma" w:hAnsi="Tahoma" w:cs="Tahoma"/>
          <w:sz w:val="24"/>
          <w:szCs w:val="20"/>
        </w:rPr>
      </w:pPr>
      <w:r w:rsidRPr="00690823">
        <w:rPr>
          <w:rFonts w:ascii="Tahoma" w:hAnsi="Tahoma" w:cs="Tahoma"/>
          <w:sz w:val="24"/>
          <w:szCs w:val="20"/>
        </w:rPr>
        <w:t>A Panel</w:t>
      </w:r>
      <w:r w:rsidR="00275FB1" w:rsidRPr="00690823">
        <w:rPr>
          <w:rFonts w:ascii="Tahoma" w:hAnsi="Tahoma" w:cs="Tahoma"/>
          <w:sz w:val="24"/>
          <w:szCs w:val="20"/>
        </w:rPr>
        <w:t xml:space="preserve"> from the </w:t>
      </w:r>
      <w:r w:rsidR="001C4C1A">
        <w:rPr>
          <w:rFonts w:ascii="Tahoma" w:hAnsi="Tahoma" w:cs="Tahoma"/>
          <w:sz w:val="24"/>
          <w:szCs w:val="20"/>
        </w:rPr>
        <w:t>Advisory Board</w:t>
      </w:r>
      <w:r w:rsidR="00275FB1" w:rsidRPr="00690823">
        <w:rPr>
          <w:rFonts w:ascii="Tahoma" w:hAnsi="Tahoma" w:cs="Tahoma"/>
          <w:sz w:val="24"/>
          <w:szCs w:val="20"/>
        </w:rPr>
        <w:t xml:space="preserve"> of </w:t>
      </w:r>
      <w:proofErr w:type="spellStart"/>
      <w:r w:rsidR="00552985">
        <w:rPr>
          <w:rFonts w:ascii="Tahoma" w:hAnsi="Tahoma" w:cs="Tahoma"/>
          <w:sz w:val="24"/>
          <w:szCs w:val="20"/>
        </w:rPr>
        <w:t>Sohbet</w:t>
      </w:r>
      <w:proofErr w:type="spellEnd"/>
      <w:r w:rsidR="00552985">
        <w:rPr>
          <w:rFonts w:ascii="Tahoma" w:hAnsi="Tahoma" w:cs="Tahoma"/>
          <w:sz w:val="24"/>
          <w:szCs w:val="20"/>
        </w:rPr>
        <w:t xml:space="preserve"> Society</w:t>
      </w:r>
      <w:r w:rsidR="001C4C1A">
        <w:rPr>
          <w:rFonts w:ascii="Tahoma" w:hAnsi="Tahoma" w:cs="Tahoma"/>
          <w:sz w:val="24"/>
          <w:szCs w:val="20"/>
        </w:rPr>
        <w:t>’s</w:t>
      </w:r>
      <w:r w:rsidR="00FE7668" w:rsidRPr="00690823">
        <w:rPr>
          <w:rFonts w:ascii="Tahoma" w:hAnsi="Tahoma" w:cs="Tahoma"/>
          <w:sz w:val="24"/>
          <w:szCs w:val="20"/>
        </w:rPr>
        <w:t xml:space="preserve"> </w:t>
      </w:r>
      <w:r w:rsidR="00275FB1" w:rsidRPr="00690823">
        <w:rPr>
          <w:rFonts w:ascii="Tahoma" w:hAnsi="Tahoma" w:cs="Tahoma"/>
          <w:sz w:val="24"/>
          <w:szCs w:val="20"/>
        </w:rPr>
        <w:t>Trustees</w:t>
      </w:r>
      <w:r w:rsidR="001A4FCB" w:rsidRPr="00690823">
        <w:rPr>
          <w:rFonts w:ascii="Tahoma" w:hAnsi="Tahoma" w:cs="Tahoma"/>
          <w:sz w:val="24"/>
          <w:szCs w:val="20"/>
        </w:rPr>
        <w:t xml:space="preserve"> will hear the appeal and decide the case as impartially as possible.</w:t>
      </w:r>
    </w:p>
    <w:p w14:paraId="397DCACB" w14:textId="77777777" w:rsidR="008B3C77" w:rsidRPr="00690823" w:rsidRDefault="008B3C77" w:rsidP="00690823">
      <w:pPr>
        <w:spacing w:line="240" w:lineRule="auto"/>
        <w:rPr>
          <w:rFonts w:ascii="Tahoma" w:hAnsi="Tahoma" w:cs="Tahoma"/>
          <w:sz w:val="24"/>
          <w:szCs w:val="20"/>
        </w:rPr>
      </w:pPr>
      <w:r w:rsidRPr="00690823">
        <w:rPr>
          <w:rFonts w:ascii="Tahoma" w:hAnsi="Tahoma" w:cs="Tahoma"/>
          <w:sz w:val="24"/>
          <w:szCs w:val="20"/>
        </w:rPr>
        <w:t>The decision of the appeal chairperson will be given to the employee in writing after the meeting.  The chairperson’s decision is final, and there is no further right of appeal.</w:t>
      </w:r>
    </w:p>
    <w:p w14:paraId="29D9ACFB" w14:textId="77777777" w:rsidR="00DC0F7F" w:rsidRPr="00690823" w:rsidRDefault="00DC0F7F" w:rsidP="00690823">
      <w:pPr>
        <w:pStyle w:val="CM9"/>
        <w:spacing w:before="240" w:after="240" w:line="240" w:lineRule="auto"/>
        <w:ind w:left="357"/>
        <w:rPr>
          <w:rFonts w:ascii="Tahoma" w:hAnsi="Tahoma" w:cs="Tahoma"/>
          <w:b/>
          <w:bCs/>
          <w:szCs w:val="20"/>
        </w:rPr>
      </w:pPr>
    </w:p>
    <w:p w14:paraId="1ECDEDDB" w14:textId="77777777" w:rsidR="00E81F0B" w:rsidRPr="00690823" w:rsidRDefault="00E81F0B" w:rsidP="00690823">
      <w:pPr>
        <w:pStyle w:val="CM9"/>
        <w:numPr>
          <w:ilvl w:val="0"/>
          <w:numId w:val="10"/>
        </w:numPr>
        <w:spacing w:before="240" w:after="240" w:line="240" w:lineRule="auto"/>
        <w:ind w:left="357" w:hanging="357"/>
        <w:rPr>
          <w:rFonts w:ascii="Tahoma" w:hAnsi="Tahoma" w:cs="Tahoma"/>
          <w:b/>
          <w:bCs/>
          <w:szCs w:val="20"/>
        </w:rPr>
      </w:pPr>
      <w:r w:rsidRPr="00690823">
        <w:rPr>
          <w:rFonts w:ascii="Tahoma" w:hAnsi="Tahoma" w:cs="Tahoma"/>
          <w:b/>
          <w:bCs/>
          <w:szCs w:val="20"/>
        </w:rPr>
        <w:t>Monitoring and review</w:t>
      </w:r>
    </w:p>
    <w:p w14:paraId="5D2AA7C6" w14:textId="77777777" w:rsidR="00E81F0B" w:rsidRPr="00690823" w:rsidRDefault="00E81F0B" w:rsidP="00690823">
      <w:pPr>
        <w:spacing w:line="240" w:lineRule="auto"/>
        <w:rPr>
          <w:rFonts w:ascii="Tahoma" w:hAnsi="Tahoma" w:cs="Tahoma"/>
          <w:sz w:val="24"/>
          <w:szCs w:val="20"/>
        </w:rPr>
      </w:pPr>
      <w:r w:rsidRPr="00690823">
        <w:rPr>
          <w:rFonts w:ascii="Tahoma" w:hAnsi="Tahoma" w:cs="Tahoma"/>
          <w:sz w:val="24"/>
          <w:szCs w:val="20"/>
        </w:rPr>
        <w:t>The senior management team, with adequate consultation of the Board of Trustees, will regularly review the operation of this procedure.</w:t>
      </w:r>
    </w:p>
    <w:p w14:paraId="48734021" w14:textId="77777777" w:rsidR="009E7B0C" w:rsidRPr="00690823" w:rsidRDefault="009E7B0C" w:rsidP="00690823">
      <w:pPr>
        <w:pStyle w:val="ListParagraph"/>
        <w:numPr>
          <w:ilvl w:val="0"/>
          <w:numId w:val="10"/>
        </w:numPr>
        <w:spacing w:line="240" w:lineRule="auto"/>
        <w:rPr>
          <w:rFonts w:ascii="Tahoma" w:hAnsi="Tahoma" w:cs="Tahoma"/>
          <w:b/>
          <w:sz w:val="24"/>
          <w:szCs w:val="20"/>
        </w:rPr>
      </w:pPr>
      <w:r w:rsidRPr="00690823">
        <w:rPr>
          <w:rFonts w:ascii="Tahoma" w:hAnsi="Tahoma" w:cs="Tahoma"/>
          <w:b/>
          <w:sz w:val="24"/>
          <w:szCs w:val="20"/>
        </w:rPr>
        <w:t>The Right to be Accompanied</w:t>
      </w:r>
    </w:p>
    <w:p w14:paraId="08700CBB" w14:textId="77777777" w:rsidR="009E7B0C" w:rsidRPr="00690823" w:rsidRDefault="009E7B0C" w:rsidP="00690823">
      <w:pPr>
        <w:pStyle w:val="ListParagraph"/>
        <w:spacing w:line="240" w:lineRule="auto"/>
        <w:ind w:left="360"/>
        <w:rPr>
          <w:rFonts w:ascii="Tahoma" w:hAnsi="Tahoma" w:cs="Tahoma"/>
          <w:sz w:val="24"/>
          <w:szCs w:val="20"/>
        </w:rPr>
      </w:pPr>
      <w:r w:rsidRPr="00690823">
        <w:rPr>
          <w:rFonts w:ascii="Tahoma" w:hAnsi="Tahoma" w:cs="Tahoma"/>
          <w:sz w:val="24"/>
          <w:szCs w:val="20"/>
        </w:rPr>
        <w:lastRenderedPageBreak/>
        <w:t>The Employment Relations Act 1999 gives you the right to be accompanied by a fellow employee or trade union officer at any stage of the formal disciplinary procedure where that disciplinary meeting could result in:</w:t>
      </w:r>
    </w:p>
    <w:p w14:paraId="4DA51423" w14:textId="77777777" w:rsidR="009E7B0C" w:rsidRPr="00690823" w:rsidRDefault="009E7B0C" w:rsidP="00690823">
      <w:pPr>
        <w:pStyle w:val="ListParagraph"/>
        <w:numPr>
          <w:ilvl w:val="0"/>
          <w:numId w:val="17"/>
        </w:numPr>
        <w:spacing w:line="240" w:lineRule="auto"/>
        <w:rPr>
          <w:rFonts w:ascii="Tahoma" w:hAnsi="Tahoma" w:cs="Tahoma"/>
          <w:sz w:val="24"/>
          <w:szCs w:val="20"/>
        </w:rPr>
      </w:pPr>
      <w:r w:rsidRPr="00690823">
        <w:rPr>
          <w:rFonts w:ascii="Tahoma" w:hAnsi="Tahoma" w:cs="Tahoma"/>
          <w:sz w:val="24"/>
          <w:szCs w:val="20"/>
        </w:rPr>
        <w:t>A formal warning being issued</w:t>
      </w:r>
    </w:p>
    <w:p w14:paraId="51025104" w14:textId="77777777" w:rsidR="009E7B0C" w:rsidRPr="00690823" w:rsidRDefault="009E7B0C" w:rsidP="00690823">
      <w:pPr>
        <w:pStyle w:val="ListParagraph"/>
        <w:numPr>
          <w:ilvl w:val="0"/>
          <w:numId w:val="17"/>
        </w:numPr>
        <w:spacing w:line="240" w:lineRule="auto"/>
        <w:rPr>
          <w:rFonts w:ascii="Tahoma" w:hAnsi="Tahoma" w:cs="Tahoma"/>
          <w:sz w:val="24"/>
          <w:szCs w:val="20"/>
        </w:rPr>
      </w:pPr>
      <w:r w:rsidRPr="00690823">
        <w:rPr>
          <w:rFonts w:ascii="Tahoma" w:hAnsi="Tahoma" w:cs="Tahoma"/>
          <w:sz w:val="24"/>
          <w:szCs w:val="20"/>
        </w:rPr>
        <w:t>The taking of some other disciplinary action</w:t>
      </w:r>
    </w:p>
    <w:p w14:paraId="60EAD92C" w14:textId="77777777" w:rsidR="009E7B0C" w:rsidRPr="00690823" w:rsidRDefault="009E7B0C" w:rsidP="00690823">
      <w:pPr>
        <w:pStyle w:val="ListParagraph"/>
        <w:numPr>
          <w:ilvl w:val="0"/>
          <w:numId w:val="17"/>
        </w:numPr>
        <w:spacing w:line="240" w:lineRule="auto"/>
        <w:rPr>
          <w:rFonts w:ascii="Tahoma" w:hAnsi="Tahoma" w:cs="Tahoma"/>
          <w:sz w:val="24"/>
          <w:szCs w:val="20"/>
        </w:rPr>
      </w:pPr>
      <w:r w:rsidRPr="00690823">
        <w:rPr>
          <w:rFonts w:ascii="Tahoma" w:hAnsi="Tahoma" w:cs="Tahoma"/>
          <w:sz w:val="24"/>
          <w:szCs w:val="20"/>
        </w:rPr>
        <w:t>The confirmation of a warning or some other disciplinary action (</w:t>
      </w:r>
      <w:proofErr w:type="gramStart"/>
      <w:r w:rsidRPr="00690823">
        <w:rPr>
          <w:rFonts w:ascii="Tahoma" w:hAnsi="Tahoma" w:cs="Tahoma"/>
          <w:sz w:val="24"/>
          <w:szCs w:val="20"/>
        </w:rPr>
        <w:t>e.g.</w:t>
      </w:r>
      <w:proofErr w:type="gramEnd"/>
      <w:r w:rsidRPr="00690823">
        <w:rPr>
          <w:rFonts w:ascii="Tahoma" w:hAnsi="Tahoma" w:cs="Tahoma"/>
          <w:sz w:val="24"/>
          <w:szCs w:val="20"/>
        </w:rPr>
        <w:t xml:space="preserve"> an Appeal hearing)</w:t>
      </w:r>
    </w:p>
    <w:p w14:paraId="2C9A5B35" w14:textId="77777777" w:rsidR="009E7B0C" w:rsidRPr="00690823" w:rsidRDefault="009E7B0C" w:rsidP="00690823">
      <w:pPr>
        <w:spacing w:line="240" w:lineRule="auto"/>
        <w:rPr>
          <w:rFonts w:ascii="Tahoma" w:hAnsi="Tahoma" w:cs="Tahoma"/>
          <w:sz w:val="24"/>
          <w:szCs w:val="20"/>
        </w:rPr>
      </w:pPr>
      <w:r w:rsidRPr="00690823">
        <w:rPr>
          <w:rFonts w:ascii="Tahoma" w:hAnsi="Tahoma" w:cs="Tahoma"/>
          <w:sz w:val="24"/>
          <w:szCs w:val="20"/>
        </w:rPr>
        <w:t>You do not have the right to be accompanied by anyone else from outside the organisation.</w:t>
      </w:r>
      <w:r w:rsidR="00FE7668" w:rsidRPr="00690823">
        <w:rPr>
          <w:rFonts w:ascii="Tahoma" w:hAnsi="Tahoma" w:cs="Tahoma"/>
          <w:sz w:val="24"/>
          <w:szCs w:val="20"/>
        </w:rPr>
        <w:t xml:space="preserve"> The right to be accompanied applied </w:t>
      </w:r>
      <w:r w:rsidR="00E556C4" w:rsidRPr="00690823">
        <w:rPr>
          <w:rFonts w:ascii="Tahoma" w:hAnsi="Tahoma" w:cs="Tahoma"/>
          <w:sz w:val="24"/>
          <w:szCs w:val="20"/>
        </w:rPr>
        <w:t>to employee who are not related, or in a relationship.</w:t>
      </w:r>
    </w:p>
    <w:p w14:paraId="38A9BB26" w14:textId="77777777" w:rsidR="00E07AD6" w:rsidRPr="00690823" w:rsidRDefault="00E07AD6" w:rsidP="00690823">
      <w:pPr>
        <w:pStyle w:val="Default"/>
        <w:rPr>
          <w:rFonts w:ascii="Tahoma" w:hAnsi="Tahoma" w:cs="Tahoma"/>
        </w:rPr>
      </w:pPr>
    </w:p>
    <w:tbl>
      <w:tblPr>
        <w:tblStyle w:val="TableGrid"/>
        <w:tblW w:w="0" w:type="auto"/>
        <w:tblLook w:val="04A0" w:firstRow="1" w:lastRow="0" w:firstColumn="1" w:lastColumn="0" w:noHBand="0" w:noVBand="1"/>
      </w:tblPr>
      <w:tblGrid>
        <w:gridCol w:w="4757"/>
        <w:gridCol w:w="4757"/>
      </w:tblGrid>
      <w:tr w:rsidR="00FE7668" w:rsidRPr="00690823" w14:paraId="338BDA54" w14:textId="77777777" w:rsidTr="00FE7668">
        <w:tc>
          <w:tcPr>
            <w:tcW w:w="4757" w:type="dxa"/>
          </w:tcPr>
          <w:p w14:paraId="627D71CD" w14:textId="4F8DFC59" w:rsidR="00FE7668" w:rsidRPr="000151D5" w:rsidRDefault="00FE7668" w:rsidP="00690823">
            <w:pPr>
              <w:rPr>
                <w:rFonts w:ascii="Tahoma" w:hAnsi="Tahoma" w:cs="Tahoma"/>
                <w:sz w:val="24"/>
                <w:szCs w:val="20"/>
              </w:rPr>
            </w:pPr>
            <w:r w:rsidRPr="000151D5">
              <w:rPr>
                <w:rFonts w:ascii="Tahoma" w:hAnsi="Tahoma" w:cs="Tahoma"/>
                <w:sz w:val="24"/>
                <w:szCs w:val="20"/>
              </w:rPr>
              <w:t xml:space="preserve">Review </w:t>
            </w:r>
            <w:r w:rsidR="000151D5">
              <w:rPr>
                <w:rFonts w:ascii="Tahoma" w:hAnsi="Tahoma" w:cs="Tahoma"/>
                <w:sz w:val="24"/>
                <w:szCs w:val="20"/>
              </w:rPr>
              <w:t>D</w:t>
            </w:r>
            <w:r w:rsidRPr="000151D5">
              <w:rPr>
                <w:rFonts w:ascii="Tahoma" w:hAnsi="Tahoma" w:cs="Tahoma"/>
                <w:sz w:val="24"/>
                <w:szCs w:val="20"/>
              </w:rPr>
              <w:t>ate</w:t>
            </w:r>
          </w:p>
        </w:tc>
        <w:tc>
          <w:tcPr>
            <w:tcW w:w="4757" w:type="dxa"/>
          </w:tcPr>
          <w:p w14:paraId="0183ACE1" w14:textId="489EF68D" w:rsidR="00FE7668" w:rsidRPr="000151D5" w:rsidRDefault="000151D5" w:rsidP="00690823">
            <w:pPr>
              <w:rPr>
                <w:rFonts w:ascii="Tahoma" w:hAnsi="Tahoma" w:cs="Tahoma"/>
                <w:sz w:val="24"/>
                <w:szCs w:val="20"/>
              </w:rPr>
            </w:pPr>
            <w:r>
              <w:rPr>
                <w:rFonts w:ascii="Tahoma" w:hAnsi="Tahoma" w:cs="Tahoma"/>
                <w:sz w:val="24"/>
                <w:szCs w:val="20"/>
              </w:rPr>
              <w:t>29</w:t>
            </w:r>
            <w:r w:rsidR="001C4C1A" w:rsidRPr="000151D5">
              <w:rPr>
                <w:rFonts w:ascii="Tahoma" w:hAnsi="Tahoma" w:cs="Tahoma"/>
                <w:sz w:val="24"/>
                <w:szCs w:val="20"/>
              </w:rPr>
              <w:t>/</w:t>
            </w:r>
            <w:r w:rsidR="00F66B31" w:rsidRPr="000151D5">
              <w:rPr>
                <w:rFonts w:ascii="Tahoma" w:hAnsi="Tahoma" w:cs="Tahoma"/>
                <w:sz w:val="24"/>
                <w:szCs w:val="20"/>
              </w:rPr>
              <w:t>0</w:t>
            </w:r>
            <w:r w:rsidR="001C4C1A" w:rsidRPr="000151D5">
              <w:rPr>
                <w:rFonts w:ascii="Tahoma" w:hAnsi="Tahoma" w:cs="Tahoma"/>
                <w:sz w:val="24"/>
                <w:szCs w:val="20"/>
              </w:rPr>
              <w:t>3/202</w:t>
            </w:r>
            <w:r>
              <w:rPr>
                <w:rFonts w:ascii="Tahoma" w:hAnsi="Tahoma" w:cs="Tahoma"/>
                <w:sz w:val="24"/>
                <w:szCs w:val="20"/>
              </w:rPr>
              <w:t>1</w:t>
            </w:r>
          </w:p>
        </w:tc>
      </w:tr>
      <w:tr w:rsidR="000151D5" w:rsidRPr="00690823" w14:paraId="2DC0C6F5" w14:textId="77777777" w:rsidTr="00FE7668">
        <w:tc>
          <w:tcPr>
            <w:tcW w:w="4757" w:type="dxa"/>
          </w:tcPr>
          <w:p w14:paraId="0E29D56C" w14:textId="715AE605" w:rsidR="000151D5" w:rsidRPr="000151D5" w:rsidRDefault="000151D5" w:rsidP="00690823">
            <w:pPr>
              <w:rPr>
                <w:rFonts w:ascii="Tahoma" w:hAnsi="Tahoma" w:cs="Tahoma"/>
                <w:sz w:val="24"/>
                <w:szCs w:val="20"/>
              </w:rPr>
            </w:pPr>
            <w:r>
              <w:rPr>
                <w:rFonts w:ascii="Tahoma" w:hAnsi="Tahoma" w:cs="Tahoma"/>
                <w:sz w:val="24"/>
                <w:szCs w:val="20"/>
              </w:rPr>
              <w:t>Next Review Date</w:t>
            </w:r>
          </w:p>
        </w:tc>
        <w:tc>
          <w:tcPr>
            <w:tcW w:w="4757" w:type="dxa"/>
          </w:tcPr>
          <w:p w14:paraId="75ED5AC9" w14:textId="40E69A5D" w:rsidR="000151D5" w:rsidRPr="000151D5" w:rsidRDefault="000151D5" w:rsidP="00690823">
            <w:pPr>
              <w:rPr>
                <w:rFonts w:ascii="Tahoma" w:hAnsi="Tahoma" w:cs="Tahoma"/>
                <w:sz w:val="24"/>
                <w:szCs w:val="20"/>
              </w:rPr>
            </w:pPr>
            <w:r>
              <w:rPr>
                <w:rFonts w:ascii="Tahoma" w:hAnsi="Tahoma" w:cs="Tahoma"/>
                <w:sz w:val="24"/>
                <w:szCs w:val="20"/>
              </w:rPr>
              <w:t>29/03/2022</w:t>
            </w:r>
          </w:p>
        </w:tc>
      </w:tr>
      <w:tr w:rsidR="00FE7668" w:rsidRPr="00690823" w14:paraId="155410F3" w14:textId="77777777" w:rsidTr="00FE7668">
        <w:tc>
          <w:tcPr>
            <w:tcW w:w="4757" w:type="dxa"/>
          </w:tcPr>
          <w:p w14:paraId="174390E6" w14:textId="77777777" w:rsidR="00FE7668" w:rsidRPr="000151D5" w:rsidRDefault="00FE7668" w:rsidP="00690823">
            <w:pPr>
              <w:rPr>
                <w:rFonts w:ascii="Tahoma" w:hAnsi="Tahoma" w:cs="Tahoma"/>
                <w:sz w:val="24"/>
                <w:szCs w:val="20"/>
              </w:rPr>
            </w:pPr>
            <w:r w:rsidRPr="000151D5">
              <w:rPr>
                <w:rFonts w:ascii="Tahoma" w:hAnsi="Tahoma" w:cs="Tahoma"/>
                <w:sz w:val="24"/>
                <w:szCs w:val="20"/>
              </w:rPr>
              <w:t>Review Author</w:t>
            </w:r>
          </w:p>
        </w:tc>
        <w:tc>
          <w:tcPr>
            <w:tcW w:w="4757" w:type="dxa"/>
          </w:tcPr>
          <w:p w14:paraId="161A985E" w14:textId="73A999FA" w:rsidR="00FE7668" w:rsidRPr="000151D5" w:rsidRDefault="00552985" w:rsidP="00690823">
            <w:pPr>
              <w:rPr>
                <w:rFonts w:ascii="Tahoma" w:hAnsi="Tahoma" w:cs="Tahoma"/>
                <w:sz w:val="24"/>
                <w:szCs w:val="20"/>
              </w:rPr>
            </w:pPr>
            <w:r>
              <w:rPr>
                <w:rFonts w:ascii="Tahoma" w:hAnsi="Tahoma" w:cs="Tahoma"/>
                <w:sz w:val="24"/>
                <w:szCs w:val="20"/>
              </w:rPr>
              <w:t>MB</w:t>
            </w:r>
          </w:p>
        </w:tc>
      </w:tr>
    </w:tbl>
    <w:p w14:paraId="551AFE59" w14:textId="77777777" w:rsidR="00E07AD6" w:rsidRPr="00690823" w:rsidRDefault="00E07AD6" w:rsidP="00690823">
      <w:pPr>
        <w:spacing w:line="240" w:lineRule="auto"/>
        <w:rPr>
          <w:rFonts w:ascii="Tahoma" w:hAnsi="Tahoma" w:cs="Tahoma"/>
          <w:sz w:val="24"/>
          <w:szCs w:val="20"/>
        </w:rPr>
      </w:pPr>
    </w:p>
    <w:sectPr w:rsidR="00E07AD6" w:rsidRPr="00690823" w:rsidSect="00690823">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E923" w14:textId="77777777" w:rsidR="00E1194C" w:rsidRDefault="00E1194C" w:rsidP="00FC61C9">
      <w:pPr>
        <w:spacing w:after="0" w:line="240" w:lineRule="auto"/>
      </w:pPr>
      <w:r>
        <w:separator/>
      </w:r>
    </w:p>
  </w:endnote>
  <w:endnote w:type="continuationSeparator" w:id="0">
    <w:p w14:paraId="38CCB9DE" w14:textId="77777777" w:rsidR="00E1194C" w:rsidRDefault="00E1194C" w:rsidP="00FC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KCKB A+ Helvetica Neue">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54BD" w14:textId="35BA82DC" w:rsidR="00700FCF" w:rsidRDefault="00552985">
    <w:pPr>
      <w:pStyle w:val="Footer"/>
      <w:rPr>
        <w:sz w:val="20"/>
        <w:szCs w:val="20"/>
      </w:rPr>
    </w:pPr>
    <w:proofErr w:type="spellStart"/>
    <w:r>
      <w:rPr>
        <w:sz w:val="20"/>
        <w:szCs w:val="20"/>
      </w:rPr>
      <w:t>Sohbet</w:t>
    </w:r>
    <w:proofErr w:type="spellEnd"/>
    <w:r>
      <w:rPr>
        <w:sz w:val="20"/>
        <w:szCs w:val="20"/>
      </w:rPr>
      <w:t xml:space="preserve"> Society</w:t>
    </w:r>
  </w:p>
  <w:p w14:paraId="5B52721B" w14:textId="200EDCBF" w:rsidR="00396249" w:rsidRPr="00B9243C" w:rsidRDefault="00396249">
    <w:pPr>
      <w:pStyle w:val="Footer"/>
      <w:rPr>
        <w:sz w:val="20"/>
        <w:szCs w:val="20"/>
      </w:rPr>
    </w:pPr>
    <w:r w:rsidRPr="00B9243C">
      <w:rPr>
        <w:sz w:val="20"/>
        <w:szCs w:val="20"/>
      </w:rPr>
      <w:t xml:space="preserve">Disciplinary </w:t>
    </w:r>
    <w:r>
      <w:rPr>
        <w:sz w:val="20"/>
        <w:szCs w:val="20"/>
      </w:rPr>
      <w:t xml:space="preserve">Policy and </w:t>
    </w:r>
    <w:r w:rsidRPr="00B9243C">
      <w:rPr>
        <w:sz w:val="20"/>
        <w:szCs w:val="20"/>
      </w:rPr>
      <w:t>Procedure</w:t>
    </w:r>
    <w:r>
      <w:rPr>
        <w:sz w:val="20"/>
        <w:szCs w:val="20"/>
      </w:rPr>
      <w:t>s</w:t>
    </w:r>
    <w:r w:rsidRPr="00B9243C">
      <w:rPr>
        <w:sz w:val="20"/>
        <w:szCs w:val="20"/>
      </w:rPr>
      <w:tab/>
    </w:r>
    <w:r w:rsidR="009E0B3B" w:rsidRPr="00B9243C">
      <w:rPr>
        <w:sz w:val="20"/>
        <w:szCs w:val="20"/>
      </w:rPr>
      <w:fldChar w:fldCharType="begin"/>
    </w:r>
    <w:r w:rsidRPr="00B9243C">
      <w:rPr>
        <w:sz w:val="20"/>
        <w:szCs w:val="20"/>
      </w:rPr>
      <w:instrText xml:space="preserve"> PAGE   \* MERGEFORMAT </w:instrText>
    </w:r>
    <w:r w:rsidR="009E0B3B" w:rsidRPr="00B9243C">
      <w:rPr>
        <w:sz w:val="20"/>
        <w:szCs w:val="20"/>
      </w:rPr>
      <w:fldChar w:fldCharType="separate"/>
    </w:r>
    <w:r w:rsidR="00690823">
      <w:rPr>
        <w:noProof/>
        <w:sz w:val="20"/>
        <w:szCs w:val="20"/>
      </w:rPr>
      <w:t>1</w:t>
    </w:r>
    <w:r w:rsidR="009E0B3B" w:rsidRPr="00B9243C">
      <w:rPr>
        <w:sz w:val="20"/>
        <w:szCs w:val="20"/>
      </w:rPr>
      <w:fldChar w:fldCharType="end"/>
    </w:r>
    <w:r w:rsidRPr="00B9243C">
      <w:rPr>
        <w:sz w:val="20"/>
        <w:szCs w:val="20"/>
      </w:rPr>
      <w:tab/>
    </w:r>
  </w:p>
  <w:p w14:paraId="04F04B75" w14:textId="77777777" w:rsidR="00396249" w:rsidRDefault="0039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CE29" w14:textId="77777777" w:rsidR="00E1194C" w:rsidRDefault="00E1194C" w:rsidP="00FC61C9">
      <w:pPr>
        <w:spacing w:after="0" w:line="240" w:lineRule="auto"/>
      </w:pPr>
      <w:r>
        <w:separator/>
      </w:r>
    </w:p>
  </w:footnote>
  <w:footnote w:type="continuationSeparator" w:id="0">
    <w:p w14:paraId="1C8269A8" w14:textId="77777777" w:rsidR="00E1194C" w:rsidRDefault="00E1194C" w:rsidP="00FC6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F4"/>
    <w:multiLevelType w:val="multilevel"/>
    <w:tmpl w:val="14A08550"/>
    <w:lvl w:ilvl="0">
      <w:start w:val="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9010B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23B72"/>
    <w:multiLevelType w:val="hybridMultilevel"/>
    <w:tmpl w:val="6BE6E690"/>
    <w:lvl w:ilvl="0" w:tplc="16D2D9E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3ED8"/>
    <w:multiLevelType w:val="hybridMultilevel"/>
    <w:tmpl w:val="1D2803E2"/>
    <w:lvl w:ilvl="0" w:tplc="F1501698">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93828"/>
    <w:multiLevelType w:val="hybridMultilevel"/>
    <w:tmpl w:val="AEDA80C8"/>
    <w:lvl w:ilvl="0" w:tplc="9230A0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33408"/>
    <w:multiLevelType w:val="multilevel"/>
    <w:tmpl w:val="AEDA80C8"/>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98F7B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E2DB2"/>
    <w:multiLevelType w:val="hybridMultilevel"/>
    <w:tmpl w:val="6B1CB2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DC56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4C5A92"/>
    <w:multiLevelType w:val="hybridMultilevel"/>
    <w:tmpl w:val="B53061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1739F"/>
    <w:multiLevelType w:val="hybridMultilevel"/>
    <w:tmpl w:val="FA320234"/>
    <w:lvl w:ilvl="0" w:tplc="20E07CB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91610"/>
    <w:multiLevelType w:val="hybridMultilevel"/>
    <w:tmpl w:val="36BC1D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100DD7"/>
    <w:multiLevelType w:val="hybridMultilevel"/>
    <w:tmpl w:val="621E9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F86ED8"/>
    <w:multiLevelType w:val="hybridMultilevel"/>
    <w:tmpl w:val="8D0EE040"/>
    <w:lvl w:ilvl="0" w:tplc="20E07CB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34ABC"/>
    <w:multiLevelType w:val="hybridMultilevel"/>
    <w:tmpl w:val="A16C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6B4B5A"/>
    <w:multiLevelType w:val="hybridMultilevel"/>
    <w:tmpl w:val="057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76ED9"/>
    <w:multiLevelType w:val="multilevel"/>
    <w:tmpl w:val="BA6A2AC4"/>
    <w:lvl w:ilvl="0">
      <w:start w:val="1"/>
      <w:numFmt w:val="decimal"/>
      <w:lvlText w:val="%1.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
  </w:num>
  <w:num w:numId="3">
    <w:abstractNumId w:val="13"/>
  </w:num>
  <w:num w:numId="4">
    <w:abstractNumId w:val="14"/>
  </w:num>
  <w:num w:numId="5">
    <w:abstractNumId w:val="15"/>
  </w:num>
  <w:num w:numId="6">
    <w:abstractNumId w:val="7"/>
  </w:num>
  <w:num w:numId="7">
    <w:abstractNumId w:val="12"/>
  </w:num>
  <w:num w:numId="8">
    <w:abstractNumId w:val="6"/>
  </w:num>
  <w:num w:numId="9">
    <w:abstractNumId w:val="1"/>
  </w:num>
  <w:num w:numId="10">
    <w:abstractNumId w:val="8"/>
  </w:num>
  <w:num w:numId="11">
    <w:abstractNumId w:val="4"/>
  </w:num>
  <w:num w:numId="12">
    <w:abstractNumId w:val="5"/>
  </w:num>
  <w:num w:numId="13">
    <w:abstractNumId w:val="16"/>
  </w:num>
  <w:num w:numId="14">
    <w:abstractNumId w:val="0"/>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FCB"/>
    <w:rsid w:val="000151D5"/>
    <w:rsid w:val="00021729"/>
    <w:rsid w:val="00056007"/>
    <w:rsid w:val="000724FC"/>
    <w:rsid w:val="000728FD"/>
    <w:rsid w:val="0008576E"/>
    <w:rsid w:val="00097F20"/>
    <w:rsid w:val="000A32FE"/>
    <w:rsid w:val="000B47B1"/>
    <w:rsid w:val="000C2706"/>
    <w:rsid w:val="000D5DDB"/>
    <w:rsid w:val="00115AEF"/>
    <w:rsid w:val="00121D3C"/>
    <w:rsid w:val="00160765"/>
    <w:rsid w:val="001671AA"/>
    <w:rsid w:val="00190731"/>
    <w:rsid w:val="001A4FCB"/>
    <w:rsid w:val="001C4C1A"/>
    <w:rsid w:val="001E738C"/>
    <w:rsid w:val="00235260"/>
    <w:rsid w:val="00251E22"/>
    <w:rsid w:val="00275FB1"/>
    <w:rsid w:val="00295431"/>
    <w:rsid w:val="00295626"/>
    <w:rsid w:val="002A66D1"/>
    <w:rsid w:val="00350BB5"/>
    <w:rsid w:val="00362042"/>
    <w:rsid w:val="00392845"/>
    <w:rsid w:val="00396249"/>
    <w:rsid w:val="00452D7A"/>
    <w:rsid w:val="00452EB2"/>
    <w:rsid w:val="00463721"/>
    <w:rsid w:val="004A67D8"/>
    <w:rsid w:val="004D77BA"/>
    <w:rsid w:val="004E2F95"/>
    <w:rsid w:val="004E6E88"/>
    <w:rsid w:val="00545B4E"/>
    <w:rsid w:val="00552985"/>
    <w:rsid w:val="005D3084"/>
    <w:rsid w:val="00690823"/>
    <w:rsid w:val="006A3CEB"/>
    <w:rsid w:val="006D5165"/>
    <w:rsid w:val="00700FCF"/>
    <w:rsid w:val="00751DF4"/>
    <w:rsid w:val="007B5C1A"/>
    <w:rsid w:val="008005D4"/>
    <w:rsid w:val="00822C4C"/>
    <w:rsid w:val="00842BA1"/>
    <w:rsid w:val="00842D77"/>
    <w:rsid w:val="00863780"/>
    <w:rsid w:val="008727C1"/>
    <w:rsid w:val="00892BEF"/>
    <w:rsid w:val="008B3C77"/>
    <w:rsid w:val="008D74C3"/>
    <w:rsid w:val="008E3DA7"/>
    <w:rsid w:val="00906916"/>
    <w:rsid w:val="00907C0B"/>
    <w:rsid w:val="009A079F"/>
    <w:rsid w:val="009A11B9"/>
    <w:rsid w:val="009B6582"/>
    <w:rsid w:val="009D7DC0"/>
    <w:rsid w:val="009E0B3B"/>
    <w:rsid w:val="009E7B0C"/>
    <w:rsid w:val="009F1F8B"/>
    <w:rsid w:val="00A12706"/>
    <w:rsid w:val="00A14BA8"/>
    <w:rsid w:val="00A205BB"/>
    <w:rsid w:val="00A274F5"/>
    <w:rsid w:val="00A35B0B"/>
    <w:rsid w:val="00A76A0D"/>
    <w:rsid w:val="00A90617"/>
    <w:rsid w:val="00AA7412"/>
    <w:rsid w:val="00AB3F51"/>
    <w:rsid w:val="00AC721F"/>
    <w:rsid w:val="00B74FF0"/>
    <w:rsid w:val="00B838AC"/>
    <w:rsid w:val="00B9243C"/>
    <w:rsid w:val="00BE06B7"/>
    <w:rsid w:val="00BE56D0"/>
    <w:rsid w:val="00C73630"/>
    <w:rsid w:val="00C97689"/>
    <w:rsid w:val="00CB5431"/>
    <w:rsid w:val="00CE25D7"/>
    <w:rsid w:val="00CF0346"/>
    <w:rsid w:val="00D06C3A"/>
    <w:rsid w:val="00DB31A4"/>
    <w:rsid w:val="00DC0F7F"/>
    <w:rsid w:val="00DC4A63"/>
    <w:rsid w:val="00E07AD6"/>
    <w:rsid w:val="00E1194C"/>
    <w:rsid w:val="00E556C4"/>
    <w:rsid w:val="00E81F0B"/>
    <w:rsid w:val="00EA2374"/>
    <w:rsid w:val="00EC3727"/>
    <w:rsid w:val="00F35F8E"/>
    <w:rsid w:val="00F66B31"/>
    <w:rsid w:val="00F9491E"/>
    <w:rsid w:val="00FC61C9"/>
    <w:rsid w:val="00FE76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1C54"/>
  <w15:docId w15:val="{7F069C62-AAF7-4B89-AECD-E0B5F54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FCB"/>
    <w:pPr>
      <w:autoSpaceDE w:val="0"/>
      <w:autoSpaceDN w:val="0"/>
      <w:adjustRightInd w:val="0"/>
      <w:spacing w:after="0" w:line="240" w:lineRule="auto"/>
    </w:pPr>
    <w:rPr>
      <w:rFonts w:ascii="JKCKB A+ Helvetica Neue" w:hAnsi="JKCKB A+ Helvetica Neue" w:cs="JKCKB A+ Helvetica Neue"/>
      <w:color w:val="000000"/>
      <w:sz w:val="24"/>
      <w:szCs w:val="24"/>
    </w:rPr>
  </w:style>
  <w:style w:type="paragraph" w:customStyle="1" w:styleId="CM53">
    <w:name w:val="CM53"/>
    <w:basedOn w:val="Default"/>
    <w:next w:val="Default"/>
    <w:uiPriority w:val="99"/>
    <w:rsid w:val="001A4FCB"/>
    <w:rPr>
      <w:rFonts w:cstheme="minorBidi"/>
      <w:color w:val="auto"/>
    </w:rPr>
  </w:style>
  <w:style w:type="paragraph" w:customStyle="1" w:styleId="CM9">
    <w:name w:val="CM9"/>
    <w:basedOn w:val="Default"/>
    <w:next w:val="Default"/>
    <w:uiPriority w:val="99"/>
    <w:rsid w:val="001A4FCB"/>
    <w:pPr>
      <w:spacing w:line="240" w:lineRule="atLeast"/>
    </w:pPr>
    <w:rPr>
      <w:rFonts w:cstheme="minorBidi"/>
      <w:color w:val="auto"/>
    </w:rPr>
  </w:style>
  <w:style w:type="paragraph" w:customStyle="1" w:styleId="CM41">
    <w:name w:val="CM41"/>
    <w:basedOn w:val="Default"/>
    <w:next w:val="Default"/>
    <w:uiPriority w:val="99"/>
    <w:rsid w:val="001A4FCB"/>
    <w:pPr>
      <w:spacing w:line="240" w:lineRule="atLeast"/>
    </w:pPr>
    <w:rPr>
      <w:rFonts w:cstheme="minorBidi"/>
      <w:color w:val="auto"/>
    </w:rPr>
  </w:style>
  <w:style w:type="paragraph" w:customStyle="1" w:styleId="CM57">
    <w:name w:val="CM57"/>
    <w:basedOn w:val="Default"/>
    <w:next w:val="Default"/>
    <w:uiPriority w:val="99"/>
    <w:rsid w:val="001A4FCB"/>
    <w:rPr>
      <w:rFonts w:cstheme="minorBidi"/>
      <w:color w:val="auto"/>
    </w:rPr>
  </w:style>
  <w:style w:type="paragraph" w:customStyle="1" w:styleId="CM26">
    <w:name w:val="CM26"/>
    <w:basedOn w:val="Default"/>
    <w:next w:val="Default"/>
    <w:uiPriority w:val="99"/>
    <w:rsid w:val="001A4FCB"/>
    <w:pPr>
      <w:spacing w:line="240" w:lineRule="atLeast"/>
    </w:pPr>
    <w:rPr>
      <w:rFonts w:cstheme="minorBidi"/>
      <w:color w:val="auto"/>
    </w:rPr>
  </w:style>
  <w:style w:type="paragraph" w:styleId="Header">
    <w:name w:val="header"/>
    <w:basedOn w:val="Normal"/>
    <w:link w:val="HeaderChar"/>
    <w:uiPriority w:val="99"/>
    <w:unhideWhenUsed/>
    <w:rsid w:val="00F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C9"/>
  </w:style>
  <w:style w:type="paragraph" w:styleId="Footer">
    <w:name w:val="footer"/>
    <w:basedOn w:val="Normal"/>
    <w:link w:val="FooterChar"/>
    <w:uiPriority w:val="99"/>
    <w:unhideWhenUsed/>
    <w:rsid w:val="00FC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C9"/>
  </w:style>
  <w:style w:type="paragraph" w:styleId="BalloonText">
    <w:name w:val="Balloon Text"/>
    <w:basedOn w:val="Normal"/>
    <w:link w:val="BalloonTextChar"/>
    <w:uiPriority w:val="99"/>
    <w:semiHidden/>
    <w:unhideWhenUsed/>
    <w:rsid w:val="00FC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C9"/>
    <w:rPr>
      <w:rFonts w:ascii="Tahoma" w:hAnsi="Tahoma" w:cs="Tahoma"/>
      <w:sz w:val="16"/>
      <w:szCs w:val="16"/>
    </w:rPr>
  </w:style>
  <w:style w:type="paragraph" w:styleId="BodyText">
    <w:name w:val="Body Text"/>
    <w:basedOn w:val="Normal"/>
    <w:link w:val="BodyTextChar"/>
    <w:rsid w:val="00BE56D0"/>
    <w:pPr>
      <w:spacing w:after="0" w:line="240" w:lineRule="auto"/>
      <w:jc w:val="both"/>
    </w:pPr>
    <w:rPr>
      <w:rFonts w:ascii="Tahoma" w:eastAsia="Times New Roman" w:hAnsi="Tahoma" w:cs="Tahoma"/>
      <w:sz w:val="24"/>
      <w:szCs w:val="20"/>
      <w:lang w:eastAsia="en-GB"/>
    </w:rPr>
  </w:style>
  <w:style w:type="character" w:customStyle="1" w:styleId="BodyTextChar">
    <w:name w:val="Body Text Char"/>
    <w:basedOn w:val="DefaultParagraphFont"/>
    <w:link w:val="BodyText"/>
    <w:rsid w:val="00BE56D0"/>
    <w:rPr>
      <w:rFonts w:ascii="Tahoma" w:eastAsia="Times New Roman" w:hAnsi="Tahoma" w:cs="Tahoma"/>
      <w:sz w:val="24"/>
      <w:szCs w:val="20"/>
      <w:lang w:eastAsia="en-GB"/>
    </w:rPr>
  </w:style>
  <w:style w:type="paragraph" w:styleId="NoSpacing">
    <w:name w:val="No Spacing"/>
    <w:uiPriority w:val="1"/>
    <w:qFormat/>
    <w:rsid w:val="00BE56D0"/>
    <w:pPr>
      <w:spacing w:after="0" w:line="240" w:lineRule="auto"/>
    </w:pPr>
  </w:style>
  <w:style w:type="paragraph" w:styleId="ListParagraph">
    <w:name w:val="List Paragraph"/>
    <w:basedOn w:val="Normal"/>
    <w:uiPriority w:val="34"/>
    <w:qFormat/>
    <w:rsid w:val="00D06C3A"/>
    <w:pPr>
      <w:ind w:left="720"/>
      <w:contextualSpacing/>
    </w:pPr>
  </w:style>
  <w:style w:type="paragraph" w:styleId="FootnoteText">
    <w:name w:val="footnote text"/>
    <w:link w:val="FootnoteTextChar"/>
    <w:uiPriority w:val="99"/>
    <w:semiHidden/>
    <w:unhideWhenUsed/>
    <w:rsid w:val="008B3C77"/>
    <w:pPr>
      <w:spacing w:after="100" w:line="240" w:lineRule="auto"/>
    </w:pPr>
    <w:rPr>
      <w:rFonts w:ascii="Arial" w:eastAsiaTheme="minorEastAsia" w:hAnsi="Arial"/>
      <w:sz w:val="16"/>
      <w:szCs w:val="20"/>
      <w:lang w:eastAsia="zh-CN"/>
    </w:rPr>
  </w:style>
  <w:style w:type="character" w:customStyle="1" w:styleId="FootnoteTextChar">
    <w:name w:val="Footnote Text Char"/>
    <w:basedOn w:val="DefaultParagraphFont"/>
    <w:link w:val="FootnoteText"/>
    <w:uiPriority w:val="99"/>
    <w:semiHidden/>
    <w:rsid w:val="008B3C77"/>
    <w:rPr>
      <w:rFonts w:ascii="Arial" w:eastAsiaTheme="minorEastAsia" w:hAnsi="Arial"/>
      <w:sz w:val="16"/>
      <w:szCs w:val="20"/>
      <w:lang w:eastAsia="zh-CN"/>
    </w:rPr>
  </w:style>
  <w:style w:type="character" w:styleId="FootnoteReference">
    <w:name w:val="footnote reference"/>
    <w:basedOn w:val="DefaultParagraphFont"/>
    <w:uiPriority w:val="99"/>
    <w:unhideWhenUsed/>
    <w:rsid w:val="008B3C77"/>
    <w:rPr>
      <w:vertAlign w:val="superscript"/>
    </w:rPr>
  </w:style>
  <w:style w:type="table" w:styleId="TableGrid">
    <w:name w:val="Table Grid"/>
    <w:basedOn w:val="TableNormal"/>
    <w:uiPriority w:val="59"/>
    <w:rsid w:val="00FE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883F4-26C2-4786-B699-192003B6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Mustafa Balci</cp:lastModifiedBy>
  <cp:revision>7</cp:revision>
  <cp:lastPrinted>2014-11-06T13:39:00Z</cp:lastPrinted>
  <dcterms:created xsi:type="dcterms:W3CDTF">2020-03-12T15:38:00Z</dcterms:created>
  <dcterms:modified xsi:type="dcterms:W3CDTF">2022-02-15T13:19:00Z</dcterms:modified>
</cp:coreProperties>
</file>